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a="http://schemas.openxmlformats.org/drawingml/2006/main" xmlns:pic="http://schemas.openxmlformats.org/drawingml/2006/picture" xmlns:a14="http://schemas.microsoft.com/office/drawing/2010/main" mc:Ignorable="w14 w15 wp14 w16se w16cid w16 w16cex w16sdtdh">
  <w:body>
    <w:p xmlns:wp14="http://schemas.microsoft.com/office/word/2010/wordml" w:rsidP="003B763E" wp14:paraId="5DA692AF" wp14:textId="098677D0">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Title</w:t>
      </w:r>
    </w:p>
    <w:p xmlns:wp14="http://schemas.microsoft.com/office/word/2010/wordml" w:rsidP="003B763E" wp14:paraId="594153FD" wp14:textId="75F75F47">
      <w:pPr>
        <w:pStyle w:val="ListParagraph"/>
        <w:numPr>
          <w:ilvl w:val="0"/>
          <w:numId w:val="1"/>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It’s</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 “Small World”: Relations between performance on five spatial tasks and five mathematical tasks in undergraduate students</w:t>
      </w:r>
    </w:p>
    <w:p xmlns:wp14="http://schemas.microsoft.com/office/word/2010/wordml" w:rsidP="003B763E" wp14:paraId="209FC035" wp14:textId="1542486A">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Authors</w:t>
      </w:r>
    </w:p>
    <w:p w:rsidR="08720910" w:rsidP="003B763E" w:rsidRDefault="08720910" w14:paraId="09F59E8F" w14:textId="5000BAB7">
      <w:pPr>
        <w:pStyle w:val="ListParagraph"/>
        <w:numPr>
          <w:ilvl w:val="0"/>
          <w:numId w:val="2"/>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08720910">
        <w:rPr>
          <w:rFonts w:ascii="Calibri" w:hAnsi="Calibri" w:eastAsia="Calibri" w:cs="Calibri"/>
          <w:b w:val="0"/>
          <w:bCs w:val="0"/>
          <w:i w:val="0"/>
          <w:iCs w:val="0"/>
          <w:caps w:val="0"/>
          <w:smallCaps w:val="0"/>
          <w:noProof w:val="0"/>
          <w:color w:val="000000" w:themeColor="text1" w:themeTint="FF" w:themeShade="FF"/>
          <w:sz w:val="24"/>
          <w:szCs w:val="24"/>
          <w:lang w:val="en-US"/>
        </w:rPr>
        <w:t>Véronic</w:t>
      </w:r>
      <w:r w:rsidRPr="003B763E" w:rsidR="0872091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Delage, Richard J. Daker, Geneviève Trudel, Ian M. Lyons, Erin A. Maloney (2024)</w:t>
      </w:r>
    </w:p>
    <w:p xmlns:wp14="http://schemas.microsoft.com/office/word/2010/wordml" w:rsidP="003B763E" wp14:paraId="54C8F0D8" wp14:textId="12DDADB7">
      <w:pPr>
        <w:spacing w:after="160" w:line="240"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Journal and DOI</w:t>
      </w:r>
    </w:p>
    <w:p xmlns:wp14="http://schemas.microsoft.com/office/word/2010/wordml" w:rsidP="003B763E" wp14:paraId="5BB63C80" wp14:textId="7491248A">
      <w:pPr>
        <w:pStyle w:val="ListParagraph"/>
        <w:numPr>
          <w:ilvl w:val="0"/>
          <w:numId w:val="3"/>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1"/>
          <w:iCs w:val="1"/>
          <w:caps w:val="0"/>
          <w:smallCaps w:val="0"/>
          <w:noProof w:val="0"/>
          <w:color w:val="000000" w:themeColor="text1" w:themeTint="FF" w:themeShade="FF"/>
          <w:sz w:val="24"/>
          <w:szCs w:val="24"/>
          <w:lang w:val="en-US"/>
        </w:rPr>
        <w:t>Canadian Journal of Experimental Psychology,</w:t>
      </w:r>
      <w:r w:rsidRPr="003B763E" w:rsidR="68912626">
        <w:rPr>
          <w:rFonts w:ascii="Calibri" w:hAnsi="Calibri" w:eastAsia="Calibri" w:cs="Calibri"/>
          <w:b w:val="0"/>
          <w:bCs w:val="0"/>
          <w:i w:val="1"/>
          <w:iCs w:val="1"/>
          <w:caps w:val="0"/>
          <w:smallCaps w:val="0"/>
          <w:noProof w:val="0"/>
          <w:color w:val="000000" w:themeColor="text1" w:themeTint="FF" w:themeShade="FF"/>
          <w:sz w:val="22"/>
          <w:szCs w:val="22"/>
          <w:lang w:val="en-US"/>
        </w:rPr>
        <w:t xml:space="preserve"> </w:t>
      </w:r>
      <w:hyperlink r:id="R2a9c4eb2c1da4727">
        <w:r w:rsidRPr="003B763E" w:rsidR="68912626">
          <w:rPr>
            <w:rStyle w:val="Hyperlink"/>
            <w:rFonts w:ascii="Calibri" w:hAnsi="Calibri" w:eastAsia="Calibri" w:cs="Calibri"/>
            <w:b w:val="0"/>
            <w:bCs w:val="0"/>
            <w:i w:val="0"/>
            <w:iCs w:val="0"/>
            <w:caps w:val="0"/>
            <w:smallCaps w:val="0"/>
            <w:strike w:val="0"/>
            <w:dstrike w:val="0"/>
            <w:noProof w:val="0"/>
            <w:sz w:val="22"/>
            <w:szCs w:val="22"/>
            <w:lang w:val="en-US"/>
          </w:rPr>
          <w:t>https://doi.org/10.1037/cep0000329</w:t>
        </w:r>
      </w:hyperlink>
      <w:r w:rsidRPr="003B763E" w:rsidR="68912626">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xmlns:wp14="http://schemas.microsoft.com/office/word/2010/wordml" w:rsidP="003B763E" wp14:paraId="4D2D512D" wp14:textId="50F9230A">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Past Research</w:t>
      </w:r>
    </w:p>
    <w:p xmlns:wp14="http://schemas.microsoft.com/office/word/2010/wordml" w:rsidP="003B763E" wp14:paraId="4E3EB9D7" wp14:textId="6461AAC6">
      <w:pPr>
        <w:pStyle w:val="ListParagraph"/>
        <w:numPr>
          <w:ilvl w:val="0"/>
          <w:numId w:val="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u w:val="none"/>
          <w:lang w:val="en-US"/>
        </w:rPr>
        <w:t>Spatial reasoning:</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mentally visualizing, rotating, and transforming visuospatial information.</w:t>
      </w:r>
    </w:p>
    <w:p xmlns:wp14="http://schemas.microsoft.com/office/word/2010/wordml" w:rsidP="003B763E" wp14:paraId="2C7C004A" wp14:textId="58D9E510">
      <w:pPr>
        <w:pStyle w:val="ListParagraph"/>
        <w:numPr>
          <w:ilvl w:val="0"/>
          <w:numId w:val="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People who are good at spatial reasoning also tend to be good at mathematical reasoning. </w:t>
      </w:r>
    </w:p>
    <w:p xmlns:wp14="http://schemas.microsoft.com/office/word/2010/wordml" w:rsidP="003B763E" wp14:paraId="56EA7231" wp14:textId="7C849F2D">
      <w:pPr>
        <w:pStyle w:val="ListParagraph"/>
        <w:numPr>
          <w:ilvl w:val="0"/>
          <w:numId w:val="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Research has generated two ideas as to why this is:</w:t>
      </w:r>
    </w:p>
    <w:p xmlns:wp14="http://schemas.microsoft.com/office/word/2010/wordml" w:rsidP="003B763E" wp14:paraId="134DDFCF" wp14:textId="7FFA20C2">
      <w:pPr>
        <w:pStyle w:val="ListParagraph"/>
        <w:numPr>
          <w:ilvl w:val="1"/>
          <w:numId w:val="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General: numbers in general are processed in a spatial way</w:t>
      </w:r>
    </w:p>
    <w:p xmlns:wp14="http://schemas.microsoft.com/office/word/2010/wordml" w:rsidP="003B763E" wp14:paraId="08B7DE57" wp14:textId="302F024A">
      <w:pPr>
        <w:pStyle w:val="ListParagraph"/>
        <w:numPr>
          <w:ilvl w:val="1"/>
          <w:numId w:val="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Specific: some spatial reasoning tasks are uniquely related to some mathematical reasoning tasks</w:t>
      </w:r>
    </w:p>
    <w:p xmlns:wp14="http://schemas.microsoft.com/office/word/2010/wordml" w:rsidP="003B763E" wp14:paraId="5FAECB27" wp14:textId="1BF65BA8">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What did we ask?</w:t>
      </w:r>
    </w:p>
    <w:p xmlns:wp14="http://schemas.microsoft.com/office/word/2010/wordml" w:rsidP="003B763E" wp14:paraId="54B75E64" wp14:textId="6CF698B3">
      <w:pPr>
        <w:pStyle w:val="ListParagraph"/>
        <w:numPr>
          <w:ilvl w:val="0"/>
          <w:numId w:val="9"/>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If we look at multiple different spatial reasoning tasks and mathematical reasoning tasks, can we see if some (rather than all) spatial tasks are related to some (rather than all) math tasks? If so, which tasks are related?</w:t>
      </w:r>
    </w:p>
    <w:p xmlns:wp14="http://schemas.microsoft.com/office/word/2010/wordml" w:rsidP="003B763E" wp14:paraId="0D105B08" wp14:textId="155E9B86">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How did we do it?</w:t>
      </w:r>
    </w:p>
    <w:p xmlns:wp14="http://schemas.microsoft.com/office/word/2010/wordml" w:rsidP="003B763E" wp14:paraId="0FABB554" wp14:textId="7A5D078E">
      <w:pPr>
        <w:pStyle w:val="ListParagraph"/>
        <w:numPr>
          <w:ilvl w:val="0"/>
          <w:numId w:val="1"/>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Two groups of undergraduate students (total of 755 students) </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completed </w:t>
      </w:r>
      <w:r w:rsidRPr="003B763E" w:rsidR="7D6F367B">
        <w:rPr>
          <w:rFonts w:ascii="Calibri" w:hAnsi="Calibri" w:eastAsia="Calibri" w:cs="Calibri"/>
          <w:b w:val="0"/>
          <w:bCs w:val="0"/>
          <w:i w:val="0"/>
          <w:iCs w:val="0"/>
          <w:caps w:val="0"/>
          <w:smallCaps w:val="0"/>
          <w:noProof w:val="0"/>
          <w:color w:val="000000" w:themeColor="text1" w:themeTint="FF" w:themeShade="FF"/>
          <w:sz w:val="24"/>
          <w:szCs w:val="24"/>
          <w:lang w:val="en-US"/>
        </w:rPr>
        <w:t>mathematical reasoning tasks</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according to Ontario’s math curriculum (e.g., algebra, data management and probability etc.), and five </w:t>
      </w:r>
      <w:r w:rsidRPr="003B763E" w:rsidR="0A582EBA">
        <w:rPr>
          <w:rFonts w:ascii="Calibri" w:hAnsi="Calibri" w:eastAsia="Calibri" w:cs="Calibri"/>
          <w:b w:val="0"/>
          <w:bCs w:val="0"/>
          <w:i w:val="0"/>
          <w:iCs w:val="0"/>
          <w:caps w:val="0"/>
          <w:smallCaps w:val="0"/>
          <w:noProof w:val="0"/>
          <w:color w:val="000000" w:themeColor="text1" w:themeTint="FF" w:themeShade="FF"/>
          <w:sz w:val="24"/>
          <w:szCs w:val="24"/>
          <w:lang w:val="en-US"/>
        </w:rPr>
        <w:t>spatial reasoning tasks</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according to past research (e.g., mental rotation, navigation, etc.). </w:t>
      </w:r>
    </w:p>
    <w:p xmlns:wp14="http://schemas.microsoft.com/office/word/2010/wordml" w:rsidP="003B763E" wp14:paraId="4F90AA01" wp14:textId="660B73C4">
      <w:pPr>
        <w:pStyle w:val="ListParagraph"/>
        <w:numPr>
          <w:ilvl w:val="0"/>
          <w:numId w:val="10"/>
        </w:numPr>
        <w:spacing w:before="0" w:beforeAutospacing="off" w:after="16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We looked at how students’ performances on the 10 different tasks relate to one another and form groups of tasks.</w:t>
      </w:r>
    </w:p>
    <w:p xmlns:wp14="http://schemas.microsoft.com/office/word/2010/wordml" w:rsidP="003B763E" wp14:paraId="41E9E621" wp14:textId="31FEFEF4">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What did we </w:t>
      </w: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f</w:t>
      </w:r>
      <w:r w:rsidRPr="003B763E" w:rsidR="3D50038C">
        <w:rPr>
          <w:rFonts w:ascii="Calibri" w:hAnsi="Calibri" w:eastAsia="Calibri" w:cs="Calibri"/>
          <w:b w:val="1"/>
          <w:bCs w:val="1"/>
          <w:i w:val="0"/>
          <w:iCs w:val="0"/>
          <w:caps w:val="0"/>
          <w:smallCaps w:val="0"/>
          <w:noProof w:val="0"/>
          <w:color w:val="000000" w:themeColor="text1" w:themeTint="FF" w:themeShade="FF"/>
          <w:sz w:val="24"/>
          <w:szCs w:val="24"/>
          <w:lang w:val="en-US"/>
        </w:rPr>
        <w:t>i</w:t>
      </w: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nd</w:t>
      </w:r>
      <w:r w:rsidRPr="003B763E" w:rsidR="68912626">
        <w:rPr>
          <w:rFonts w:ascii="Calibri" w:hAnsi="Calibri" w:eastAsia="Calibri" w:cs="Calibri"/>
          <w:b w:val="1"/>
          <w:bCs w:val="1"/>
          <w:i w:val="0"/>
          <w:iCs w:val="0"/>
          <w:caps w:val="0"/>
          <w:smallCaps w:val="0"/>
          <w:noProof w:val="0"/>
          <w:color w:val="000000" w:themeColor="text1" w:themeTint="FF" w:themeShade="FF"/>
          <w:sz w:val="24"/>
          <w:szCs w:val="24"/>
          <w:lang w:val="en-US"/>
        </w:rPr>
        <w:t>?</w:t>
      </w:r>
    </w:p>
    <w:p xmlns:wp14="http://schemas.microsoft.com/office/word/2010/wordml" w:rsidP="003B763E" wp14:paraId="4265C0BC" wp14:textId="3EC096E3">
      <w:pPr>
        <w:pStyle w:val="ListParagraph"/>
        <w:numPr>
          <w:ilvl w:val="0"/>
          <w:numId w:val="1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Participants tended to perform similarly across most math tasks and similarly across spatial tasks, forming two groups of tasks</w:t>
      </w:r>
      <w:r w:rsidRPr="003B763E" w:rsidR="41079E84">
        <w:rPr>
          <w:rFonts w:ascii="Calibri" w:hAnsi="Calibri" w:eastAsia="Calibri" w:cs="Calibri"/>
          <w:b w:val="0"/>
          <w:bCs w:val="0"/>
          <w:i w:val="0"/>
          <w:iCs w:val="0"/>
          <w:caps w:val="0"/>
          <w:smallCaps w:val="0"/>
          <w:noProof w:val="0"/>
          <w:color w:val="000000" w:themeColor="text1" w:themeTint="FF" w:themeShade="FF"/>
          <w:sz w:val="24"/>
          <w:szCs w:val="24"/>
          <w:lang w:val="en-US"/>
        </w:rPr>
        <w:t>;</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one spatial and one mathematical.</w:t>
      </w:r>
    </w:p>
    <w:p w:rsidR="61387347" w:rsidP="003B763E" w:rsidRDefault="61387347" w14:paraId="269CDDB6" w14:textId="46F62C36">
      <w:pPr>
        <w:pStyle w:val="ListParagraph"/>
        <w:numPr>
          <w:ilvl w:val="0"/>
          <w:numId w:val="1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1387347">
        <w:rPr>
          <w:rFonts w:ascii="Calibri" w:hAnsi="Calibri" w:eastAsia="Calibri" w:cs="Calibri"/>
          <w:b w:val="0"/>
          <w:bCs w:val="0"/>
          <w:i w:val="0"/>
          <w:iCs w:val="0"/>
          <w:caps w:val="0"/>
          <w:smallCaps w:val="0"/>
          <w:noProof w:val="0"/>
          <w:color w:val="000000" w:themeColor="text1" w:themeTint="FF" w:themeShade="FF"/>
          <w:sz w:val="24"/>
          <w:szCs w:val="24"/>
          <w:lang w:val="en-US"/>
        </w:rPr>
        <w:t>Participants who performed well on the math tasks tended to perform well on the spatial tasks.</w:t>
      </w:r>
    </w:p>
    <w:p xmlns:wp14="http://schemas.microsoft.com/office/word/2010/wordml" w:rsidP="003B763E" wp14:paraId="7B855187" wp14:textId="7491D621">
      <w:pPr>
        <w:pStyle w:val="ListParagraph"/>
        <w:numPr>
          <w:ilvl w:val="0"/>
          <w:numId w:val="1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When visually mapping out the results, </w:t>
      </w:r>
      <w:r w:rsidRPr="003B763E" w:rsidR="72781083">
        <w:rPr>
          <w:rFonts w:ascii="Calibri" w:hAnsi="Calibri" w:eastAsia="Calibri" w:cs="Calibri"/>
          <w:b w:val="0"/>
          <w:bCs w:val="0"/>
          <w:i w:val="0"/>
          <w:iCs w:val="0"/>
          <w:caps w:val="0"/>
          <w:smallCaps w:val="0"/>
          <w:noProof w:val="0"/>
          <w:color w:val="000000" w:themeColor="text1" w:themeTint="FF" w:themeShade="FF"/>
          <w:sz w:val="24"/>
          <w:szCs w:val="24"/>
          <w:lang w:val="en-US"/>
        </w:rPr>
        <w:t>we found that</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003B763E" wp14:paraId="31C6A0BD" wp14:textId="3BB59132">
      <w:pPr>
        <w:pStyle w:val="ListParagraph"/>
        <w:numPr>
          <w:ilvl w:val="1"/>
          <w:numId w:val="1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4C9659E4">
        <w:rPr>
          <w:rFonts w:ascii="Calibri" w:hAnsi="Calibri" w:eastAsia="Calibri" w:cs="Calibri"/>
          <w:b w:val="0"/>
          <w:bCs w:val="0"/>
          <w:i w:val="0"/>
          <w:iCs w:val="0"/>
          <w:caps w:val="0"/>
          <w:smallCaps w:val="0"/>
          <w:noProof w:val="0"/>
          <w:color w:val="000000" w:themeColor="text1" w:themeTint="FF" w:themeShade="FF"/>
          <w:sz w:val="24"/>
          <w:szCs w:val="24"/>
          <w:lang w:val="en-US"/>
        </w:rPr>
        <w:t>G</w:t>
      </w:r>
      <w:r w:rsidRPr="003B763E" w:rsidR="689126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eometry and spatial sense (a math task) formed a bridge between the mathematical and spatial groups. </w:t>
      </w:r>
    </w:p>
    <w:p w:rsidR="414B803C" w:rsidP="003B763E" w:rsidRDefault="414B803C" w14:paraId="11342739" w14:textId="1F1BEB3E">
      <w:pPr>
        <w:pStyle w:val="ListParagraph"/>
        <w:numPr>
          <w:ilvl w:val="1"/>
          <w:numId w:val="14"/>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03B763E" w:rsidR="414B803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Math tasks and spatial tasks are related to each other in a small world network; with short distances between </w:t>
      </w:r>
      <w:r w:rsidRPr="003B763E" w:rsidR="2716344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nodes (i.e., individual tasks), and highly interconnected hubs (i.e., </w:t>
      </w:r>
      <w:r w:rsidRPr="003B763E" w:rsidR="79EF2B7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groups of tasks). </w:t>
      </w:r>
    </w:p>
    <w:p w:rsidR="44F11AD8" w:rsidP="003B763E" w:rsidRDefault="44F11AD8" w14:paraId="4EA89B15" w14:textId="292A384C">
      <w:pPr>
        <w:pStyle w:val="Normal"/>
        <w:spacing w:after="160" w:line="259" w:lineRule="auto"/>
        <w:jc w:val="center"/>
        <w:rPr>
          <w:rFonts w:ascii="Calibri" w:hAnsi="Calibri" w:eastAsia="Calibri" w:cs="Calibri"/>
        </w:rPr>
      </w:pPr>
      <w:r w:rsidR="44F11AD8">
        <w:drawing>
          <wp:inline wp14:editId="3FDC21A3" wp14:anchorId="6F62835E">
            <wp:extent cx="2686050" cy="2686050"/>
            <wp:effectExtent l="0" t="0" r="0" b="0"/>
            <wp:docPr id="1638266948" name="" title=""/>
            <wp:cNvGraphicFramePr>
              <a:graphicFrameLocks noChangeAspect="1"/>
            </wp:cNvGraphicFramePr>
            <a:graphic>
              <a:graphicData uri="http://schemas.openxmlformats.org/drawingml/2006/picture">
                <pic:pic>
                  <pic:nvPicPr>
                    <pic:cNvPr id="0" name=""/>
                    <pic:cNvPicPr/>
                  </pic:nvPicPr>
                  <pic:blipFill>
                    <a:blip r:embed="R13a3a8f111f34fdb">
                      <a:extLst>
                        <a:ext xmlns:a="http://schemas.openxmlformats.org/drawingml/2006/main" uri="{28A0092B-C50C-407E-A947-70E740481C1C}">
                          <a14:useLocalDpi val="0"/>
                        </a:ext>
                      </a:extLst>
                    </a:blip>
                    <a:stretch>
                      <a:fillRect/>
                    </a:stretch>
                  </pic:blipFill>
                  <pic:spPr>
                    <a:xfrm>
                      <a:off x="0" y="0"/>
                      <a:ext cx="2686050" cy="2686050"/>
                    </a:xfrm>
                    <a:prstGeom prst="rect">
                      <a:avLst/>
                    </a:prstGeom>
                  </pic:spPr>
                </pic:pic>
              </a:graphicData>
            </a:graphic>
          </wp:inline>
        </w:drawing>
      </w:r>
    </w:p>
    <w:p w:rsidR="0D673960" w:rsidP="003B763E" w:rsidRDefault="0D673960" w14:paraId="724FF54A" w14:textId="3F4017ED">
      <w:pPr>
        <w:pStyle w:val="Normal"/>
        <w:spacing w:after="160" w:line="259" w:lineRule="auto"/>
        <w:jc w:val="left"/>
        <w:rPr>
          <w:rFonts w:ascii="Calibri" w:hAnsi="Calibri" w:eastAsia="Calibri" w:cs="Calibri"/>
          <w:i w:val="1"/>
          <w:iCs w:val="1"/>
        </w:rPr>
      </w:pPr>
      <w:r w:rsidRPr="003B763E" w:rsidR="0D673960">
        <w:rPr>
          <w:rFonts w:ascii="Calibri" w:hAnsi="Calibri" w:eastAsia="Calibri" w:cs="Calibri"/>
          <w:i w:val="1"/>
          <w:iCs w:val="1"/>
          <w:noProof w:val="0"/>
          <w:sz w:val="24"/>
          <w:szCs w:val="24"/>
          <w:lang w:val="en-US"/>
        </w:rPr>
        <w:t xml:space="preserve">A figure </w:t>
      </w:r>
      <w:r w:rsidRPr="003B763E" w:rsidR="0D673960">
        <w:rPr>
          <w:rFonts w:ascii="Calibri" w:hAnsi="Calibri" w:eastAsia="Calibri" w:cs="Calibri"/>
          <w:i w:val="1"/>
          <w:iCs w:val="1"/>
          <w:noProof w:val="0"/>
          <w:sz w:val="24"/>
          <w:szCs w:val="24"/>
          <w:lang w:val="en-US"/>
        </w:rPr>
        <w:t>representing</w:t>
      </w:r>
      <w:r w:rsidRPr="003B763E" w:rsidR="0D673960">
        <w:rPr>
          <w:rFonts w:ascii="Calibri" w:hAnsi="Calibri" w:eastAsia="Calibri" w:cs="Calibri"/>
          <w:i w:val="1"/>
          <w:iCs w:val="1"/>
          <w:noProof w:val="0"/>
          <w:sz w:val="24"/>
          <w:szCs w:val="24"/>
          <w:lang w:val="en-US"/>
        </w:rPr>
        <w:t xml:space="preserve"> our findings is included in this infographic. It depicts a</w:t>
      </w:r>
      <w:r w:rsidRPr="003B763E" w:rsidR="44F11AD8">
        <w:rPr>
          <w:rFonts w:ascii="Calibri" w:hAnsi="Calibri" w:eastAsia="Calibri" w:cs="Calibri"/>
          <w:i w:val="1"/>
          <w:iCs w:val="1"/>
        </w:rPr>
        <w:t xml:space="preserve"> scatterplot graph with</w:t>
      </w:r>
      <w:r w:rsidRPr="003B763E" w:rsidR="2E16D9F4">
        <w:rPr>
          <w:rFonts w:ascii="Calibri" w:hAnsi="Calibri" w:eastAsia="Calibri" w:cs="Calibri"/>
          <w:i w:val="1"/>
          <w:iCs w:val="1"/>
        </w:rPr>
        <w:t xml:space="preserve"> </w:t>
      </w:r>
      <w:r w:rsidRPr="003B763E" w:rsidR="44F11AD8">
        <w:rPr>
          <w:rFonts w:ascii="Calibri" w:hAnsi="Calibri" w:eastAsia="Calibri" w:cs="Calibri"/>
          <w:i w:val="1"/>
          <w:iCs w:val="1"/>
        </w:rPr>
        <w:t xml:space="preserve">two clusters of data. One cluster of four </w:t>
      </w:r>
      <w:r w:rsidRPr="003B763E" w:rsidR="1460B3A9">
        <w:rPr>
          <w:rFonts w:ascii="Calibri" w:hAnsi="Calibri" w:eastAsia="Calibri" w:cs="Calibri"/>
          <w:i w:val="1"/>
          <w:iCs w:val="1"/>
        </w:rPr>
        <w:t xml:space="preserve">interconnected data points </w:t>
      </w:r>
      <w:r w:rsidRPr="003B763E" w:rsidR="5944C8B0">
        <w:rPr>
          <w:rFonts w:ascii="Calibri" w:hAnsi="Calibri" w:eastAsia="Calibri" w:cs="Calibri"/>
          <w:i w:val="1"/>
          <w:iCs w:val="1"/>
        </w:rPr>
        <w:t>in light blue</w:t>
      </w:r>
      <w:r w:rsidRPr="003B763E" w:rsidR="44F11AD8">
        <w:rPr>
          <w:rFonts w:ascii="Calibri" w:hAnsi="Calibri" w:eastAsia="Calibri" w:cs="Calibri"/>
          <w:i w:val="1"/>
          <w:iCs w:val="1"/>
        </w:rPr>
        <w:t xml:space="preserve"> is labelled “Math Tasks Hub</w:t>
      </w:r>
      <w:r w:rsidRPr="003B763E" w:rsidR="44F11AD8">
        <w:rPr>
          <w:rFonts w:ascii="Calibri" w:hAnsi="Calibri" w:eastAsia="Calibri" w:cs="Calibri"/>
          <w:i w:val="1"/>
          <w:iCs w:val="1"/>
        </w:rPr>
        <w:t>”.</w:t>
      </w:r>
      <w:r w:rsidRPr="003B763E" w:rsidR="44F11AD8">
        <w:rPr>
          <w:rFonts w:ascii="Calibri" w:hAnsi="Calibri" w:eastAsia="Calibri" w:cs="Calibri"/>
          <w:i w:val="1"/>
          <w:iCs w:val="1"/>
        </w:rPr>
        <w:t xml:space="preserve"> </w:t>
      </w:r>
      <w:r w:rsidRPr="003B763E" w:rsidR="0FF14D0C">
        <w:rPr>
          <w:rFonts w:ascii="Calibri" w:hAnsi="Calibri" w:eastAsia="Calibri" w:cs="Calibri"/>
          <w:i w:val="1"/>
          <w:iCs w:val="1"/>
        </w:rPr>
        <w:t>The other cluster of five</w:t>
      </w:r>
      <w:r w:rsidRPr="003B763E" w:rsidR="209DBB15">
        <w:rPr>
          <w:rFonts w:ascii="Calibri" w:hAnsi="Calibri" w:eastAsia="Calibri" w:cs="Calibri"/>
          <w:i w:val="1"/>
          <w:iCs w:val="1"/>
        </w:rPr>
        <w:t xml:space="preserve"> interconnected data</w:t>
      </w:r>
      <w:r w:rsidRPr="003B763E" w:rsidR="0FF14D0C">
        <w:rPr>
          <w:rFonts w:ascii="Calibri" w:hAnsi="Calibri" w:eastAsia="Calibri" w:cs="Calibri"/>
          <w:i w:val="1"/>
          <w:iCs w:val="1"/>
        </w:rPr>
        <w:t xml:space="preserve"> points </w:t>
      </w:r>
      <w:r w:rsidRPr="003B763E" w:rsidR="283229AF">
        <w:rPr>
          <w:rFonts w:ascii="Calibri" w:hAnsi="Calibri" w:eastAsia="Calibri" w:cs="Calibri"/>
          <w:i w:val="1"/>
          <w:iCs w:val="1"/>
        </w:rPr>
        <w:t xml:space="preserve">in pink </w:t>
      </w:r>
      <w:r w:rsidRPr="003B763E" w:rsidR="0FF14D0C">
        <w:rPr>
          <w:rFonts w:ascii="Calibri" w:hAnsi="Calibri" w:eastAsia="Calibri" w:cs="Calibri"/>
          <w:i w:val="1"/>
          <w:iCs w:val="1"/>
        </w:rPr>
        <w:t>is labelled “Spatial Tasks Hub</w:t>
      </w:r>
      <w:r w:rsidRPr="003B763E" w:rsidR="0FF14D0C">
        <w:rPr>
          <w:rFonts w:ascii="Calibri" w:hAnsi="Calibri" w:eastAsia="Calibri" w:cs="Calibri"/>
          <w:i w:val="1"/>
          <w:iCs w:val="1"/>
        </w:rPr>
        <w:t>”.</w:t>
      </w:r>
      <w:r w:rsidRPr="003B763E" w:rsidR="0FF14D0C">
        <w:rPr>
          <w:rFonts w:ascii="Calibri" w:hAnsi="Calibri" w:eastAsia="Calibri" w:cs="Calibri"/>
          <w:i w:val="1"/>
          <w:iCs w:val="1"/>
        </w:rPr>
        <w:t xml:space="preserve"> </w:t>
      </w:r>
      <w:r w:rsidRPr="003B763E" w:rsidR="3740C8F9">
        <w:rPr>
          <w:rFonts w:ascii="Calibri" w:hAnsi="Calibri" w:eastAsia="Calibri" w:cs="Calibri"/>
          <w:i w:val="1"/>
          <w:iCs w:val="1"/>
        </w:rPr>
        <w:t>Two data points on each hub connect to a blue data point</w:t>
      </w:r>
      <w:r w:rsidRPr="003B763E" w:rsidR="5D80A3DC">
        <w:rPr>
          <w:rFonts w:ascii="Calibri" w:hAnsi="Calibri" w:eastAsia="Calibri" w:cs="Calibri"/>
          <w:i w:val="1"/>
          <w:iCs w:val="1"/>
        </w:rPr>
        <w:t>,</w:t>
      </w:r>
      <w:r w:rsidRPr="003B763E" w:rsidR="3740C8F9">
        <w:rPr>
          <w:rFonts w:ascii="Calibri" w:hAnsi="Calibri" w:eastAsia="Calibri" w:cs="Calibri"/>
          <w:i w:val="1"/>
          <w:iCs w:val="1"/>
        </w:rPr>
        <w:t xml:space="preserve"> </w:t>
      </w:r>
      <w:r w:rsidRPr="003B763E" w:rsidR="3740C8F9">
        <w:rPr>
          <w:rFonts w:ascii="Calibri" w:hAnsi="Calibri" w:eastAsia="Calibri" w:cs="Calibri"/>
          <w:i w:val="1"/>
          <w:iCs w:val="1"/>
        </w:rPr>
        <w:t>representing</w:t>
      </w:r>
      <w:r w:rsidRPr="003B763E" w:rsidR="3740C8F9">
        <w:rPr>
          <w:rFonts w:ascii="Calibri" w:hAnsi="Calibri" w:eastAsia="Calibri" w:cs="Calibri"/>
          <w:i w:val="1"/>
          <w:iCs w:val="1"/>
        </w:rPr>
        <w:t xml:space="preserve"> a math task</w:t>
      </w:r>
      <w:r w:rsidRPr="003B763E" w:rsidR="763E83C2">
        <w:rPr>
          <w:rFonts w:ascii="Calibri" w:hAnsi="Calibri" w:eastAsia="Calibri" w:cs="Calibri"/>
          <w:i w:val="1"/>
          <w:iCs w:val="1"/>
        </w:rPr>
        <w:t>,</w:t>
      </w:r>
      <w:r w:rsidRPr="003B763E" w:rsidR="3740C8F9">
        <w:rPr>
          <w:rFonts w:ascii="Calibri" w:hAnsi="Calibri" w:eastAsia="Calibri" w:cs="Calibri"/>
          <w:i w:val="1"/>
          <w:iCs w:val="1"/>
        </w:rPr>
        <w:t xml:space="preserve"> that falls outside the two hubs, labelled “Geometry Node</w:t>
      </w:r>
      <w:r w:rsidRPr="003B763E" w:rsidR="3740C8F9">
        <w:rPr>
          <w:rFonts w:ascii="Calibri" w:hAnsi="Calibri" w:eastAsia="Calibri" w:cs="Calibri"/>
          <w:i w:val="1"/>
          <w:iCs w:val="1"/>
        </w:rPr>
        <w:t>”.</w:t>
      </w:r>
      <w:r w:rsidRPr="003B763E" w:rsidR="3740C8F9">
        <w:rPr>
          <w:rFonts w:ascii="Calibri" w:hAnsi="Calibri" w:eastAsia="Calibri" w:cs="Calibri"/>
          <w:i w:val="1"/>
          <w:iCs w:val="1"/>
        </w:rPr>
        <w:t xml:space="preserve"> </w:t>
      </w:r>
    </w:p>
    <w:p xmlns:wp14="http://schemas.microsoft.com/office/word/2010/wordml" w:rsidP="003B763E" wp14:paraId="14FA7F6F" wp14:textId="04443722">
      <w:pPr>
        <w:pStyle w:val="ListParagraph"/>
        <w:shd w:val="clear" w:color="auto" w:fill="FFFFFF" w:themeFill="background1"/>
        <w:spacing w:before="0" w:beforeAutospacing="off" w:after="0" w:afterAutospacing="off"/>
        <w:ind w:left="720"/>
        <w:rPr>
          <w:rFonts w:ascii="Calibri" w:hAnsi="Calibri" w:eastAsia="Calibri" w:cs="Calibri"/>
        </w:rPr>
      </w:pPr>
    </w:p>
    <w:p xmlns:wp14="http://schemas.microsoft.com/office/word/2010/wordml" w:rsidP="4122079D" wp14:paraId="0184142E" wp14:textId="2B1DB37A">
      <w:p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4122079D" w:rsidR="68912626">
        <w:rPr>
          <w:rFonts w:ascii="Calibri" w:hAnsi="Calibri" w:eastAsia="Calibri" w:cs="Calibri"/>
          <w:b w:val="1"/>
          <w:bCs w:val="1"/>
          <w:i w:val="0"/>
          <w:iCs w:val="0"/>
          <w:caps w:val="0"/>
          <w:smallCaps w:val="0"/>
          <w:noProof w:val="0"/>
          <w:color w:val="000000" w:themeColor="text1" w:themeTint="FF" w:themeShade="FF"/>
          <w:sz w:val="24"/>
          <w:szCs w:val="24"/>
          <w:lang w:val="en-US"/>
        </w:rPr>
        <w:t>Take away Message</w:t>
      </w:r>
    </w:p>
    <w:p xmlns:wp14="http://schemas.microsoft.com/office/word/2010/wordml" w:rsidP="1799785E" wp14:paraId="187AA0F6" wp14:textId="45373C0C">
      <w:pPr>
        <w:pStyle w:val="ListParagraph"/>
        <w:numPr>
          <w:ilvl w:val="0"/>
          <w:numId w:val="20"/>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1799785E" w:rsidR="0AAF2D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Some types of math tasks are related to some types of spatial tasks. </w:t>
      </w:r>
    </w:p>
    <w:p xmlns:wp14="http://schemas.microsoft.com/office/word/2010/wordml" w:rsidP="1799785E" wp14:paraId="2AA1162F" wp14:textId="01E2DEF8">
      <w:pPr>
        <w:pStyle w:val="ListParagraph"/>
        <w:numPr>
          <w:ilvl w:val="0"/>
          <w:numId w:val="20"/>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1799785E" w:rsidR="0AAF2D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Some tasks, like geometry, connect mathematical and spatial reasoning. </w:t>
      </w:r>
    </w:p>
    <w:p xmlns:wp14="http://schemas.microsoft.com/office/word/2010/wordml" w:rsidP="1799785E" wp14:paraId="3B4FEF90" wp14:textId="0461D1E7">
      <w:pPr>
        <w:pStyle w:val="ListParagraph"/>
        <w:numPr>
          <w:ilvl w:val="0"/>
          <w:numId w:val="20"/>
        </w:numPr>
        <w:spacing w:after="160"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1799785E" w:rsidR="4E196ACD">
        <w:rPr>
          <w:rFonts w:ascii="Calibri" w:hAnsi="Calibri" w:eastAsia="Calibri" w:cs="Calibri"/>
          <w:b w:val="0"/>
          <w:bCs w:val="0"/>
          <w:i w:val="0"/>
          <w:iCs w:val="0"/>
          <w:caps w:val="0"/>
          <w:smallCaps w:val="0"/>
          <w:noProof w:val="0"/>
          <w:color w:val="000000" w:themeColor="text1" w:themeTint="FF" w:themeShade="FF"/>
          <w:sz w:val="24"/>
          <w:szCs w:val="24"/>
          <w:lang w:val="en-US"/>
        </w:rPr>
        <w:t>Mathematical and spatial reasoning are otherwise two distinct categories of cognitive skills</w:t>
      </w:r>
    </w:p>
    <w:p xmlns:wp14="http://schemas.microsoft.com/office/word/2010/wordml" w:rsidP="1799785E" wp14:paraId="0AEFF711" wp14:textId="4C6A38B5">
      <w:pPr>
        <w:pStyle w:val="Normal"/>
        <w:spacing w:after="160" w:line="259" w:lineRule="auto"/>
        <w:ind w:left="0"/>
        <w:rPr>
          <w:rFonts w:ascii="Calibri" w:hAnsi="Calibri" w:eastAsia="Calibri" w:cs="Calibri"/>
          <w:b w:val="0"/>
          <w:bCs w:val="0"/>
          <w:i w:val="0"/>
          <w:iCs w:val="0"/>
          <w:caps w:val="0"/>
          <w:smallCaps w:val="0"/>
          <w:noProof w:val="0"/>
          <w:color w:val="000000" w:themeColor="text1" w:themeTint="FF" w:themeShade="FF"/>
          <w:sz w:val="24"/>
          <w:szCs w:val="24"/>
          <w:lang w:val="en-US"/>
        </w:rPr>
      </w:pPr>
      <w:r w:rsidRPr="1799785E" w:rsidR="68912626">
        <w:rPr>
          <w:rFonts w:ascii="Calibri" w:hAnsi="Calibri" w:eastAsia="Calibri" w:cs="Calibri"/>
          <w:b w:val="0"/>
          <w:bCs w:val="0"/>
          <w:i w:val="0"/>
          <w:iCs w:val="0"/>
          <w:caps w:val="0"/>
          <w:smallCaps w:val="0"/>
          <w:noProof w:val="0"/>
          <w:color w:val="000000" w:themeColor="text1" w:themeTint="FF" w:themeShade="FF"/>
          <w:sz w:val="24"/>
          <w:szCs w:val="24"/>
          <w:lang w:val="en-US"/>
        </w:rPr>
        <w:t>Brought to you by Dr. Erin Maloney's Cognition and Emotion Lab at the University of Ottawa.</w:t>
      </w:r>
    </w:p>
    <w:p xmlns:wp14="http://schemas.microsoft.com/office/word/2010/wordml" w:rsidP="4122079D" wp14:paraId="63067169" wp14:textId="2238FA05">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404ABC37" wp14:paraId="2C078E63" wp14:textId="16191577">
      <w:pPr>
        <w:pStyle w:val="Normal"/>
        <w:spacing w:after="160" w:line="279" w:lineRule="auto"/>
        <w:rPr>
          <w:rFonts w:ascii="Aptos" w:hAnsi="Aptos" w:eastAsia="Aptos" w:cs="Aptos"/>
          <w:b w:val="0"/>
          <w:bCs w:val="0"/>
          <w:i w:val="0"/>
          <w:iCs w:val="0"/>
          <w:caps w:val="0"/>
          <w:smallCaps w:val="0"/>
          <w:noProof w:val="0"/>
          <w:color w:val="000000" w:themeColor="text1" w:themeTint="FF" w:themeShade="FF"/>
          <w:sz w:val="24"/>
          <w:szCs w:val="24"/>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0">
    <w:nsid w:val="613c16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7d8b1b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416998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4038b6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c634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3207afc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46e210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4738250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1e7ace9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24b77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6814ca6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458433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3b0ff36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9c52e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a11b5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bb8d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6d0d95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f12123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d4af1d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f4bb4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5FD56"/>
    <w:rsid w:val="003B763E"/>
    <w:rsid w:val="041571C6"/>
    <w:rsid w:val="08720910"/>
    <w:rsid w:val="0A582EBA"/>
    <w:rsid w:val="0AAF2DA2"/>
    <w:rsid w:val="0BF4E157"/>
    <w:rsid w:val="0C12DA74"/>
    <w:rsid w:val="0D673960"/>
    <w:rsid w:val="0F78C235"/>
    <w:rsid w:val="0FF14D0C"/>
    <w:rsid w:val="11F1AD57"/>
    <w:rsid w:val="13C5FD56"/>
    <w:rsid w:val="1460B3A9"/>
    <w:rsid w:val="16C2F6EE"/>
    <w:rsid w:val="1799785E"/>
    <w:rsid w:val="1827A6E4"/>
    <w:rsid w:val="18C210F9"/>
    <w:rsid w:val="1BE835C2"/>
    <w:rsid w:val="1C0A93D8"/>
    <w:rsid w:val="209DBB15"/>
    <w:rsid w:val="254E24F6"/>
    <w:rsid w:val="27163441"/>
    <w:rsid w:val="283229AF"/>
    <w:rsid w:val="28E4AF31"/>
    <w:rsid w:val="2CE0C1F8"/>
    <w:rsid w:val="2E16D9F4"/>
    <w:rsid w:val="311B4AE1"/>
    <w:rsid w:val="336F55A2"/>
    <w:rsid w:val="3740C8F9"/>
    <w:rsid w:val="3D50038C"/>
    <w:rsid w:val="404ABC37"/>
    <w:rsid w:val="41079E84"/>
    <w:rsid w:val="4122079D"/>
    <w:rsid w:val="414B803C"/>
    <w:rsid w:val="44A8C95A"/>
    <w:rsid w:val="44F11AD8"/>
    <w:rsid w:val="46E3CA01"/>
    <w:rsid w:val="4C9659E4"/>
    <w:rsid w:val="4D91D6CD"/>
    <w:rsid w:val="4E196ACD"/>
    <w:rsid w:val="538AEB5B"/>
    <w:rsid w:val="54CED831"/>
    <w:rsid w:val="56FA2824"/>
    <w:rsid w:val="57E726A0"/>
    <w:rsid w:val="5944C8B0"/>
    <w:rsid w:val="5A3147BA"/>
    <w:rsid w:val="5C3B6ABF"/>
    <w:rsid w:val="5CAC7F90"/>
    <w:rsid w:val="5D72D85E"/>
    <w:rsid w:val="5D80A3DC"/>
    <w:rsid w:val="61387347"/>
    <w:rsid w:val="6194BD99"/>
    <w:rsid w:val="62B55148"/>
    <w:rsid w:val="635AE9EB"/>
    <w:rsid w:val="639FBD86"/>
    <w:rsid w:val="66C47567"/>
    <w:rsid w:val="66C62639"/>
    <w:rsid w:val="68912626"/>
    <w:rsid w:val="6938D0CA"/>
    <w:rsid w:val="719A91ED"/>
    <w:rsid w:val="72781083"/>
    <w:rsid w:val="763E83C2"/>
    <w:rsid w:val="79EF2B75"/>
    <w:rsid w:val="7AFB63BB"/>
    <w:rsid w:val="7D6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5FD56"/>
  <w15:chartTrackingRefBased/>
  <w15:docId w15:val="{85A1904E-B160-442F-A57E-1901665A557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d037f49e3b4c4bfb" /><Relationship Type="http://schemas.openxmlformats.org/officeDocument/2006/relationships/hyperlink" Target="https://psycnet.apa.org/doi/10.1037/cep0000329" TargetMode="External" Id="R2a9c4eb2c1da4727" /><Relationship Type="http://schemas.openxmlformats.org/officeDocument/2006/relationships/image" Target="/media/image2.png" Id="R13a3a8f111f34fdb"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8" ma:contentTypeDescription="Create a new document." ma:contentTypeScope="" ma:versionID="61361462761bdaa9002f7d966095b22d">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dbeb0dfc13d019e669456180c5a4aa78"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065679A3-492E-40B9-AD01-4E23CE337D27}"/>
</file>

<file path=customXml/itemProps2.xml><?xml version="1.0" encoding="utf-8"?>
<ds:datastoreItem xmlns:ds="http://schemas.openxmlformats.org/officeDocument/2006/customXml" ds:itemID="{9EEB4BE5-27F0-47E0-9C30-36F8DE52AD09}"/>
</file>

<file path=customXml/itemProps3.xml><?xml version="1.0" encoding="utf-8"?>
<ds:datastoreItem xmlns:ds="http://schemas.openxmlformats.org/officeDocument/2006/customXml" ds:itemID="{A283058F-04FC-4540-B2BC-228960E4D89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Dani Leclair</dc:creator>
  <keywords/>
  <dc:description/>
  <lastModifiedBy>Dani Leclair</lastModifiedBy>
  <dcterms:created xsi:type="dcterms:W3CDTF">2024-09-05T16:35:04.0000000Z</dcterms:created>
  <dcterms:modified xsi:type="dcterms:W3CDTF">2024-11-01T23:32:28.9253975Z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