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10365E" w:rsidR="009D4FDD" w:rsidP="5988664C" w:rsidRDefault="009D4FDD" w14:paraId="7A5743B9" w14:textId="3DA2431F">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 xml:space="preserve">Titre  </w:t>
      </w:r>
    </w:p>
    <w:p w:rsidRPr="0010365E" w:rsidR="009D4FDD" w:rsidP="5988664C" w:rsidRDefault="009D4FDD" w14:paraId="32FF145D" w14:textId="4B832B57">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Tester la spécificité des liens entre l'anxiété et la performance en mathématiques et en raisonnement spatial</w:t>
      </w:r>
    </w:p>
    <w:p w:rsidRPr="0010365E" w:rsidR="009D4FDD" w:rsidP="5988664C" w:rsidRDefault="009D4FDD" w14:paraId="1C9B1DE4" w14:textId="7DADD770">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 xml:space="preserve">Auteurs  </w:t>
      </w:r>
    </w:p>
    <w:p w:rsidRPr="0010365E" w:rsidR="009D4FDD" w:rsidP="5988664C" w:rsidRDefault="009D4FDD" w14:paraId="4A19E2B0" w14:textId="09DE0E05">
      <w:pPr>
        <w:pStyle w:val="Normal"/>
        <w:rPr>
          <w:rStyle w:val="eop"/>
          <w:rFonts w:ascii="Calibri" w:hAnsi="Calibri" w:eastAsia="Calibri" w:cs="Calibri"/>
          <w:b w:val="0"/>
          <w:bCs w:val="0"/>
          <w:i w:val="0"/>
          <w:iCs w:val="0"/>
          <w:caps w:val="0"/>
          <w:smallCaps w:val="0"/>
          <w:noProof w:val="0"/>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w:t>
      </w:r>
      <w:r w:rsidRPr="5988664C" w:rsidR="0FDDFCFC">
        <w:rPr>
          <w:rStyle w:val="eop"/>
          <w:rFonts w:cs="Calibri" w:cstheme="minorAscii"/>
          <w:color w:val="000000" w:themeColor="text1" w:themeTint="FF" w:themeShade="FF"/>
          <w:sz w:val="24"/>
          <w:szCs w:val="24"/>
          <w:lang w:val="fr-CA"/>
        </w:rPr>
        <w:t xml:space="preserve"> </w:t>
      </w:r>
      <w:proofErr w:type="spellStart"/>
      <w:r w:rsidRPr="5988664C" w:rsidR="021B7FF9">
        <w:rPr>
          <w:rStyle w:val="eop"/>
          <w:rFonts w:cs="Calibri" w:cstheme="minorAscii"/>
          <w:noProof w:val="0"/>
          <w:color w:val="000000" w:themeColor="text1" w:themeTint="FF" w:themeShade="FF"/>
          <w:sz w:val="24"/>
          <w:szCs w:val="24"/>
          <w:lang w:val="fr-CA"/>
        </w:rPr>
        <w:t>Daker</w:t>
      </w:r>
      <w:proofErr w:type="spellEnd"/>
      <w:r w:rsidRPr="5988664C" w:rsidR="021B7FF9">
        <w:rPr>
          <w:rStyle w:val="eop"/>
          <w:rFonts w:cs="Calibri" w:cstheme="minorAscii"/>
          <w:noProof w:val="0"/>
          <w:color w:val="000000" w:themeColor="text1" w:themeTint="FF" w:themeShade="FF"/>
          <w:sz w:val="24"/>
          <w:szCs w:val="24"/>
          <w:lang w:val="fr-CA"/>
        </w:rPr>
        <w:t xml:space="preserve">, Richard J., Delage, </w:t>
      </w:r>
      <w:proofErr w:type="spellStart"/>
      <w:r w:rsidRPr="5988664C" w:rsidR="021B7FF9">
        <w:rPr>
          <w:rStyle w:val="eop"/>
          <w:rFonts w:cs="Calibri" w:cstheme="minorAscii"/>
          <w:noProof w:val="0"/>
          <w:color w:val="000000" w:themeColor="text1" w:themeTint="FF" w:themeShade="FF"/>
          <w:sz w:val="24"/>
          <w:szCs w:val="24"/>
          <w:lang w:val="fr-CA"/>
        </w:rPr>
        <w:t>Véronic</w:t>
      </w:r>
      <w:proofErr w:type="spellEnd"/>
      <w:r w:rsidRPr="5988664C" w:rsidR="021B7FF9">
        <w:rPr>
          <w:rStyle w:val="eop"/>
          <w:rFonts w:cs="Calibri" w:cstheme="minorAscii"/>
          <w:noProof w:val="0"/>
          <w:color w:val="000000" w:themeColor="text1" w:themeTint="FF" w:themeShade="FF"/>
          <w:sz w:val="24"/>
          <w:szCs w:val="24"/>
          <w:lang w:val="fr-CA"/>
        </w:rPr>
        <w:t xml:space="preserve">, </w:t>
      </w:r>
      <w:proofErr w:type="spellStart"/>
      <w:r w:rsidRPr="5988664C" w:rsidR="021B7FF9">
        <w:rPr>
          <w:rStyle w:val="eop"/>
          <w:rFonts w:cs="Calibri" w:cstheme="minorAscii"/>
          <w:noProof w:val="0"/>
          <w:color w:val="000000" w:themeColor="text1" w:themeTint="FF" w:themeShade="FF"/>
          <w:sz w:val="24"/>
          <w:szCs w:val="24"/>
          <w:lang w:val="fr-CA"/>
        </w:rPr>
        <w:t>Maloney</w:t>
      </w:r>
      <w:proofErr w:type="spellEnd"/>
      <w:r w:rsidRPr="5988664C" w:rsidR="021B7FF9">
        <w:rPr>
          <w:rStyle w:val="eop"/>
          <w:rFonts w:cs="Calibri" w:cstheme="minorAscii"/>
          <w:noProof w:val="0"/>
          <w:color w:val="000000" w:themeColor="text1" w:themeTint="FF" w:themeShade="FF"/>
          <w:sz w:val="24"/>
          <w:szCs w:val="24"/>
          <w:lang w:val="fr-CA"/>
        </w:rPr>
        <w:t>, Erin A., &amp; Lyons, Ian M.</w:t>
      </w:r>
    </w:p>
    <w:p w:rsidRPr="0010365E" w:rsidR="009D4FDD" w:rsidP="5988664C" w:rsidRDefault="009D4FDD" w14:paraId="4721A4BE" w14:textId="5A24BF97">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 xml:space="preserve">Journal et DOI  </w:t>
      </w:r>
    </w:p>
    <w:p w:rsidR="0FDDFCFC" w:rsidP="5988664C" w:rsidRDefault="0FDDFCFC" w14:paraId="13650695" w14:textId="7E35E17E">
      <w:pPr>
        <w:pStyle w:val="Normal"/>
        <w:spacing w:before="0" w:beforeAutospacing="off" w:after="0" w:afterAutospacing="off"/>
        <w:rPr>
          <w:rStyle w:val="eop"/>
          <w:rFonts w:cs="Calibri" w:cstheme="minorAscii"/>
          <w:noProof w:val="0"/>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w:t>
      </w:r>
      <w:proofErr w:type="gramStart"/>
      <w:r w:rsidRPr="5988664C" w:rsidR="4727F93C">
        <w:rPr>
          <w:rStyle w:val="eop"/>
          <w:rFonts w:cs="Calibri" w:cstheme="minorAscii"/>
          <w:noProof w:val="0"/>
          <w:color w:val="000000" w:themeColor="text1" w:themeTint="FF" w:themeShade="FF"/>
          <w:sz w:val="24"/>
          <w:szCs w:val="24"/>
          <w:lang w:val="en-CA"/>
        </w:rPr>
        <w:t>Journal :</w:t>
      </w:r>
      <w:proofErr w:type="gramEnd"/>
      <w:r w:rsidRPr="5988664C" w:rsidR="4727F93C">
        <w:rPr>
          <w:rStyle w:val="eop"/>
          <w:rFonts w:cs="Calibri" w:cstheme="minorAscii"/>
          <w:noProof w:val="0"/>
          <w:color w:val="000000" w:themeColor="text1" w:themeTint="FF" w:themeShade="FF"/>
          <w:sz w:val="24"/>
          <w:szCs w:val="24"/>
          <w:lang w:val="en-CA"/>
        </w:rPr>
        <w:t xml:space="preserve"> Annals of the New York Academy of Sciences, 2022; 1512(1), 174-191</w:t>
      </w:r>
    </w:p>
    <w:p w:rsidRPr="0010365E" w:rsidR="009D4FDD" w:rsidP="5988664C" w:rsidRDefault="009D4FDD" w14:paraId="65C9E308" w14:textId="546DB431">
      <w:pPr>
        <w:pStyle w:val="Normal"/>
        <w:spacing w:before="0" w:beforeAutospacing="off" w:after="0" w:afterAutospacing="off"/>
        <w:rPr>
          <w:rStyle w:val="eop"/>
          <w:rFonts w:cs="Calibri" w:cstheme="minorAscii"/>
          <w:noProof w:val="0"/>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w:t>
      </w:r>
      <w:r w:rsidRPr="5988664C" w:rsidR="322BBB14">
        <w:rPr>
          <w:rStyle w:val="eop"/>
          <w:rFonts w:cs="Calibri" w:cstheme="minorAscii"/>
          <w:noProof w:val="0"/>
          <w:color w:val="000000" w:themeColor="text1" w:themeTint="FF" w:themeShade="FF"/>
          <w:sz w:val="24"/>
          <w:szCs w:val="24"/>
          <w:lang w:val="en-CA"/>
        </w:rPr>
        <w:t>DOI: https://doi.org/10.1111/nyas.14761</w:t>
      </w:r>
    </w:p>
    <w:p w:rsidRPr="0010365E" w:rsidR="009D4FDD" w:rsidP="5988664C" w:rsidRDefault="009D4FDD" w14:paraId="695EB8ED" w14:textId="04C08770">
      <w:pPr>
        <w:pStyle w:val="Normal"/>
        <w:rPr>
          <w:rStyle w:val="eop"/>
          <w:rFonts w:cs="Calibri" w:cstheme="minorAscii"/>
          <w:color w:val="000000" w:themeColor="text1" w:themeTint="FF" w:themeShade="FF"/>
          <w:sz w:val="24"/>
          <w:szCs w:val="24"/>
          <w:lang w:val="fr-CA"/>
        </w:rPr>
      </w:pPr>
    </w:p>
    <w:p w:rsidRPr="0010365E" w:rsidR="009D4FDD" w:rsidP="5988664C" w:rsidRDefault="009D4FDD" w14:paraId="65FBA1BE" w14:textId="361054C2">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Recherches antérieures</w:t>
      </w:r>
    </w:p>
    <w:p w:rsidRPr="0010365E" w:rsidR="009D4FDD" w:rsidP="5988664C" w:rsidRDefault="009D4FDD" w14:paraId="69BFC072" w14:textId="6846EE15">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Les recherches ont montré que l'anxiété </w:t>
      </w:r>
      <w:r w:rsidRPr="5988664C" w:rsidR="0FDDFCFC">
        <w:rPr>
          <w:rStyle w:val="eop"/>
          <w:rFonts w:cs="Calibri" w:cstheme="minorAscii"/>
          <w:color w:val="auto"/>
          <w:sz w:val="24"/>
          <w:szCs w:val="24"/>
          <w:lang w:val="fr-CA"/>
        </w:rPr>
        <w:t>des</w:t>
      </w:r>
      <w:r w:rsidRPr="5988664C" w:rsidR="0FDDFCFC">
        <w:rPr>
          <w:rStyle w:val="eop"/>
          <w:rFonts w:cs="Calibri" w:cstheme="minorAscii"/>
          <w:color w:val="FF0000"/>
          <w:sz w:val="24"/>
          <w:szCs w:val="24"/>
          <w:lang w:val="fr-CA"/>
        </w:rPr>
        <w:t xml:space="preserve"> </w:t>
      </w:r>
      <w:r w:rsidRPr="5988664C" w:rsidR="0FDDFCFC">
        <w:rPr>
          <w:rStyle w:val="eop"/>
          <w:rFonts w:cs="Calibri" w:cstheme="minorAscii"/>
          <w:color w:val="000000" w:themeColor="text1" w:themeTint="FF" w:themeShade="FF"/>
          <w:sz w:val="24"/>
          <w:szCs w:val="24"/>
          <w:lang w:val="fr-CA"/>
        </w:rPr>
        <w:t xml:space="preserve">mathématiques (appréhension ou peur des mathématiques) a un impact négatif sur les performances en mathématiques. De même, l'anxiété spatiale </w:t>
      </w:r>
      <w:r w:rsidRPr="5988664C" w:rsidR="3B649F2A">
        <w:rPr>
          <w:rStyle w:val="eop"/>
          <w:rFonts w:cs="Calibri" w:cstheme="minorAscii"/>
          <w:color w:val="000000" w:themeColor="text1" w:themeTint="FF" w:themeShade="FF"/>
          <w:sz w:val="24"/>
          <w:szCs w:val="24"/>
          <w:lang w:val="fr-CA"/>
        </w:rPr>
        <w:t xml:space="preserve">(appréhension ou peur d'effectuer des tâches spatiales) </w:t>
      </w:r>
      <w:r w:rsidRPr="5988664C" w:rsidR="0FDDFCFC">
        <w:rPr>
          <w:rStyle w:val="eop"/>
          <w:rFonts w:cs="Calibri" w:cstheme="minorAscii"/>
          <w:color w:val="000000" w:themeColor="text1" w:themeTint="FF" w:themeShade="FF"/>
          <w:sz w:val="24"/>
          <w:szCs w:val="24"/>
          <w:lang w:val="fr-CA"/>
        </w:rPr>
        <w:t>a un impact négatif sur le raisonnement spatial.</w:t>
      </w:r>
    </w:p>
    <w:p w:rsidRPr="0010365E" w:rsidR="009D4FDD" w:rsidP="5988664C" w:rsidRDefault="009D4FDD" w14:paraId="5093A025" w14:textId="37471201">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Il a également été démontré qu'une forte anxiété </w:t>
      </w:r>
      <w:r w:rsidRPr="5988664C" w:rsidR="0FDDFCFC">
        <w:rPr>
          <w:rStyle w:val="eop"/>
          <w:rFonts w:cs="Calibri" w:cstheme="minorAscii"/>
          <w:color w:val="auto"/>
          <w:sz w:val="24"/>
          <w:szCs w:val="24"/>
          <w:lang w:val="fr-CA"/>
        </w:rPr>
        <w:t>des</w:t>
      </w:r>
      <w:r w:rsidRPr="5988664C" w:rsidR="0FDDFCFC">
        <w:rPr>
          <w:rStyle w:val="eop"/>
          <w:rFonts w:cs="Calibri" w:cstheme="minorAscii"/>
          <w:color w:val="FF0000"/>
          <w:sz w:val="24"/>
          <w:szCs w:val="24"/>
          <w:lang w:val="fr-CA"/>
        </w:rPr>
        <w:t xml:space="preserve"> </w:t>
      </w:r>
      <w:r w:rsidRPr="5988664C" w:rsidR="0FDDFCFC">
        <w:rPr>
          <w:rStyle w:val="eop"/>
          <w:rFonts w:cs="Calibri" w:cstheme="minorAscii"/>
          <w:color w:val="000000" w:themeColor="text1" w:themeTint="FF" w:themeShade="FF"/>
          <w:sz w:val="24"/>
          <w:szCs w:val="24"/>
          <w:lang w:val="fr-CA"/>
        </w:rPr>
        <w:t>mathématiques est corrélée à une anxiété spatiale plus élevée et à de moins bonnes performances spatiales.</w:t>
      </w:r>
    </w:p>
    <w:p w:rsidR="5988664C" w:rsidP="5988664C" w:rsidRDefault="5988664C" w14:paraId="390D9343" w14:textId="08C336B4">
      <w:pPr>
        <w:pStyle w:val="Normal"/>
        <w:rPr>
          <w:rStyle w:val="eop"/>
          <w:rFonts w:cs="Calibri" w:cstheme="minorAscii"/>
          <w:color w:val="000000" w:themeColor="text1" w:themeTint="FF" w:themeShade="FF"/>
          <w:sz w:val="24"/>
          <w:szCs w:val="24"/>
          <w:lang w:val="fr-CA"/>
        </w:rPr>
      </w:pPr>
    </w:p>
    <w:p w:rsidRPr="0010365E" w:rsidR="009D4FDD" w:rsidP="5988664C" w:rsidRDefault="009D4FDD" w14:paraId="168CF818" w14:textId="044157AF">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Qu'avons-nous demandé ?</w:t>
      </w:r>
    </w:p>
    <w:p w:rsidRPr="0010365E" w:rsidR="009D4FDD" w:rsidP="5988664C" w:rsidRDefault="009D4FDD" w14:paraId="741B96CA" w14:textId="784CC987">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Dans quelle mesure les liens entre les anxiétés spécifiques à la cognition et les performances dans les domaines cognitifs correspondants sont-ils spécifiques ?</w:t>
      </w:r>
    </w:p>
    <w:p w:rsidRPr="0010365E" w:rsidR="009D4FDD" w:rsidP="5988664C" w:rsidRDefault="009D4FDD" w14:paraId="7A8B409B" w14:textId="45EA5693">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Plus précisément, l'anxiété </w:t>
      </w:r>
      <w:r w:rsidRPr="5988664C" w:rsidR="0FDDFCFC">
        <w:rPr>
          <w:rStyle w:val="eop"/>
          <w:rFonts w:cs="Calibri" w:cstheme="minorAscii"/>
          <w:color w:val="auto"/>
          <w:sz w:val="24"/>
          <w:szCs w:val="24"/>
          <w:lang w:val="fr-CA"/>
        </w:rPr>
        <w:t>des</w:t>
      </w:r>
      <w:r w:rsidRPr="5988664C" w:rsidR="0FDDFCFC">
        <w:rPr>
          <w:rStyle w:val="eop"/>
          <w:rFonts w:cs="Calibri" w:cstheme="minorAscii"/>
          <w:color w:val="FF0000"/>
          <w:sz w:val="24"/>
          <w:szCs w:val="24"/>
          <w:lang w:val="fr-CA"/>
        </w:rPr>
        <w:t xml:space="preserve"> </w:t>
      </w:r>
      <w:r w:rsidRPr="5988664C" w:rsidR="0FDDFCFC">
        <w:rPr>
          <w:rStyle w:val="eop"/>
          <w:rFonts w:cs="Calibri" w:cstheme="minorAscii"/>
          <w:color w:val="000000" w:themeColor="text1" w:themeTint="FF" w:themeShade="FF"/>
          <w:sz w:val="24"/>
          <w:szCs w:val="24"/>
          <w:lang w:val="fr-CA"/>
        </w:rPr>
        <w:t>mathématiques est-elle toujours liée aux performances en mathématiques lorsque l'on contrôle l'anxiété générale et l'anxiété spatiale ?</w:t>
      </w:r>
    </w:p>
    <w:p w:rsidRPr="0010365E" w:rsidR="009D4FDD" w:rsidP="5988664C" w:rsidRDefault="009D4FDD" w14:paraId="203E9885" w14:textId="01D7798D">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De même, l'anxiété spatiale est-elle toujours liée à la performance spatiale lorsqu'on tient compte de l'anxiété générale et de l'anxiété liée aux mathématiques ?</w:t>
      </w:r>
    </w:p>
    <w:p w:rsidRPr="0010365E" w:rsidR="009D4FDD" w:rsidP="5988664C" w:rsidRDefault="009D4FDD" w14:paraId="064D2503" w14:textId="3D48452F">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w:t>
      </w:r>
    </w:p>
    <w:p w:rsidRPr="0010365E" w:rsidR="009D4FDD" w:rsidP="5988664C" w:rsidRDefault="009D4FDD" w14:paraId="3D6338AA" w14:textId="5354C522">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Comment avons-nous procédé ?</w:t>
      </w:r>
    </w:p>
    <w:p w:rsidRPr="0010365E" w:rsidR="009D4FDD" w:rsidP="5988664C" w:rsidRDefault="009D4FDD" w14:paraId="4F6595D9" w14:textId="7DDA8287">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Expérience 1 : les participants ont rempli des questionnaires et des tâches cognitives qui évaluaient leur anxiété mathématique, spatiale</w:t>
      </w:r>
      <w:r w:rsidRPr="5988664C" w:rsidR="0D88C61B">
        <w:rPr>
          <w:rStyle w:val="eop"/>
          <w:rFonts w:cs="Calibri" w:cstheme="minorAscii"/>
          <w:color w:val="000000" w:themeColor="text1" w:themeTint="FF" w:themeShade="FF"/>
          <w:sz w:val="24"/>
          <w:szCs w:val="24"/>
          <w:lang w:val="fr-CA"/>
        </w:rPr>
        <w:t>,</w:t>
      </w:r>
      <w:r w:rsidRPr="5988664C" w:rsidR="0FDDFCFC">
        <w:rPr>
          <w:rStyle w:val="eop"/>
          <w:rFonts w:cs="Calibri" w:cstheme="minorAscii"/>
          <w:color w:val="FF0000"/>
          <w:sz w:val="24"/>
          <w:szCs w:val="24"/>
          <w:lang w:val="fr-CA"/>
        </w:rPr>
        <w:t xml:space="preserve"> </w:t>
      </w:r>
      <w:r w:rsidRPr="5988664C" w:rsidR="0FDDFCFC">
        <w:rPr>
          <w:rStyle w:val="eop"/>
          <w:rFonts w:cs="Calibri" w:cstheme="minorAscii"/>
          <w:color w:val="000000" w:themeColor="text1" w:themeTint="FF" w:themeShade="FF"/>
          <w:sz w:val="24"/>
          <w:szCs w:val="24"/>
          <w:lang w:val="fr-CA"/>
        </w:rPr>
        <w:t>et générale, ainsi que leur performance mathématique et spatiale.</w:t>
      </w:r>
      <w:r w:rsidRPr="5988664C" w:rsidR="0FDDFCFC">
        <w:rPr>
          <w:rStyle w:val="eop"/>
          <w:rFonts w:cs="Calibri" w:cstheme="minorAscii"/>
          <w:color w:val="000000" w:themeColor="text1" w:themeTint="FF" w:themeShade="FF"/>
          <w:sz w:val="24"/>
          <w:szCs w:val="24"/>
          <w:lang w:val="fr-CA"/>
        </w:rPr>
        <w:t xml:space="preserve"> </w:t>
      </w:r>
    </w:p>
    <w:p w:rsidRPr="0010365E" w:rsidR="009D4FDD" w:rsidP="5988664C" w:rsidRDefault="009D4FDD" w14:paraId="7253837A" w14:textId="21AF4E78">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Expérience 2 : les participants ont rempli les mêmes mesures d'anxiété spatiale et générale que dans l'expérience 1, mais ont rempli un ensemble différent de mesures pour évaluer leur anxiété liée aux mathématiques, leur performance en mathématiques</w:t>
      </w:r>
      <w:r w:rsidRPr="5988664C" w:rsidR="182D208D">
        <w:rPr>
          <w:rStyle w:val="eop"/>
          <w:rFonts w:cs="Calibri" w:cstheme="minorAscii"/>
          <w:color w:val="000000" w:themeColor="text1" w:themeTint="FF" w:themeShade="FF"/>
          <w:sz w:val="24"/>
          <w:szCs w:val="24"/>
          <w:lang w:val="fr-CA"/>
        </w:rPr>
        <w:t>,</w:t>
      </w:r>
      <w:r w:rsidRPr="5988664C" w:rsidR="0FDDFCFC">
        <w:rPr>
          <w:rStyle w:val="eop"/>
          <w:rFonts w:cs="Calibri" w:cstheme="minorAscii"/>
          <w:color w:val="000000" w:themeColor="text1" w:themeTint="FF" w:themeShade="FF"/>
          <w:sz w:val="24"/>
          <w:szCs w:val="24"/>
          <w:lang w:val="fr-CA"/>
        </w:rPr>
        <w:t xml:space="preserve"> et leur performance spatiale. Il est important de noter que les mesures de la performance en mathématiques et de la performance spatiale couvraient davantage de sous-domaines (par exemple, la géométrie, la rotation mentale) que les mesures utilisées dans l'expérience 1. </w:t>
      </w:r>
    </w:p>
    <w:p w:rsidRPr="0010365E" w:rsidR="009D4FDD" w:rsidP="5988664C" w:rsidRDefault="009D4FDD" w14:paraId="64154DBB" w14:textId="70176AED">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w:t>
      </w:r>
    </w:p>
    <w:p w:rsidRPr="0010365E" w:rsidR="009D4FDD" w:rsidP="5988664C" w:rsidRDefault="009D4FDD" w14:paraId="0D561D1D" w14:textId="51E92934">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 xml:space="preserve">Qu'avons-nous trouvé ?  </w:t>
      </w:r>
    </w:p>
    <w:p w:rsidRPr="0010365E" w:rsidR="009D4FDD" w:rsidP="5988664C" w:rsidRDefault="009D4FDD" w14:paraId="57BD1E1A" w14:textId="05C38CB0">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Expérience 1 : l'anxiété liée aux mathématiques est associée de façon négative aux performances en mathématiques, et l'anxiété spatiale est associée de façon négative aux performances spatiales, même en tenant compte des autres anxiétés. Les anxiétés spécifiques à la cognition étaient plus prédictives des performances dans le domaine correspondant que les autres types d'anxiété. </w:t>
      </w:r>
    </w:p>
    <w:p w:rsidRPr="0010365E" w:rsidR="009D4FDD" w:rsidP="5988664C" w:rsidRDefault="009D4FDD" w14:paraId="7F2D252C" w14:textId="436374AF">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Expérience 2 : tous les résultats clés de l'étude 1 ont été reproduits, même en utilisant un échantillon différent et des mesures différentes des performances en mathématiques et en espace.</w:t>
      </w:r>
      <w:r w:rsidRPr="5988664C" w:rsidR="0FDDFCFC">
        <w:rPr>
          <w:rStyle w:val="eop"/>
          <w:rFonts w:cs="Calibri" w:cstheme="minorAscii"/>
          <w:color w:val="000000" w:themeColor="text1" w:themeTint="FF" w:themeShade="FF"/>
          <w:sz w:val="24"/>
          <w:szCs w:val="24"/>
          <w:lang w:val="fr-CA"/>
        </w:rPr>
        <w:t xml:space="preserve"> </w:t>
      </w:r>
    </w:p>
    <w:p w:rsidRPr="0010365E" w:rsidR="009D4FDD" w:rsidP="5988664C" w:rsidRDefault="009D4FDD" w14:paraId="70AD99E5" w14:textId="048B636E">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w:t>
      </w:r>
    </w:p>
    <w:p w:rsidRPr="0010365E" w:rsidR="009D4FDD" w:rsidP="5988664C" w:rsidRDefault="009D4FDD" w14:paraId="0570E306" w14:textId="6E5B0B81">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 xml:space="preserve">Message à retenir  </w:t>
      </w:r>
    </w:p>
    <w:p w:rsidRPr="0010365E" w:rsidR="009D4FDD" w:rsidP="5988664C" w:rsidRDefault="009D4FDD" w14:paraId="5852FD43" w14:textId="4B64ED57">
      <w:pPr>
        <w:pStyle w:val="Normal"/>
        <w:rPr>
          <w:rStyle w:val="eop"/>
          <w:rFonts w:cs="Calibri" w:cstheme="minorAscii"/>
          <w:color w:val="000000" w:themeColor="text1" w:themeTint="FF" w:themeShade="FF"/>
          <w:sz w:val="24"/>
          <w:szCs w:val="24"/>
          <w:lang w:val="fr-CA"/>
        </w:rPr>
      </w:pPr>
      <w:r w:rsidRPr="5988664C" w:rsidR="0FDDFCFC">
        <w:rPr>
          <w:rStyle w:val="eop"/>
          <w:rFonts w:cs="Calibri" w:cstheme="minorAscii"/>
          <w:color w:val="000000" w:themeColor="text1" w:themeTint="FF" w:themeShade="FF"/>
          <w:sz w:val="24"/>
          <w:szCs w:val="24"/>
          <w:lang w:val="fr-CA"/>
        </w:rPr>
        <w:t xml:space="preserve">- Cette étude permet de mieux comprendre les associations entre l'anxiété et les performances. En d'autres termes, les anxiétés spécifiques à une cognition prédisent de manière unique les performances dans les domaines correspondants. Cela souligne la nécessité d'interventions spécifiques à un domaine pour les étudiants qui sont anxieux à propos des mathématiques et/ou du raisonnement spatial. </w:t>
      </w:r>
    </w:p>
    <w:p w:rsidR="5988664C" w:rsidP="5988664C" w:rsidRDefault="5988664C" w14:paraId="31B064B4" w14:textId="10998A59">
      <w:pPr>
        <w:pStyle w:val="Normal"/>
        <w:rPr>
          <w:rStyle w:val="eop"/>
          <w:rFonts w:cs="Calibri" w:cstheme="minorAscii"/>
          <w:color w:val="000000" w:themeColor="text1" w:themeTint="FF" w:themeShade="FF"/>
          <w:sz w:val="24"/>
          <w:szCs w:val="24"/>
          <w:lang w:val="fr-CA"/>
        </w:rPr>
      </w:pPr>
    </w:p>
    <w:p w:rsidRPr="0010365E" w:rsidR="009D4FDD" w:rsidP="5988664C" w:rsidRDefault="009D4FDD" w14:paraId="3977EA46" w14:textId="795C8587">
      <w:pPr>
        <w:pStyle w:val="Normal"/>
        <w:rPr>
          <w:rStyle w:val="eop"/>
          <w:rFonts w:cs="Calibri" w:cstheme="minorAscii"/>
          <w:b w:val="1"/>
          <w:bCs w:val="1"/>
          <w:color w:val="000000" w:themeColor="text1" w:themeTint="FF" w:themeShade="FF"/>
          <w:sz w:val="24"/>
          <w:szCs w:val="24"/>
          <w:lang w:val="fr-CA"/>
        </w:rPr>
      </w:pPr>
      <w:r w:rsidRPr="5988664C" w:rsidR="0FDDFCFC">
        <w:rPr>
          <w:rStyle w:val="eop"/>
          <w:rFonts w:cs="Calibri" w:cstheme="minorAscii"/>
          <w:b w:val="1"/>
          <w:bCs w:val="1"/>
          <w:color w:val="000000" w:themeColor="text1" w:themeTint="FF" w:themeShade="FF"/>
          <w:sz w:val="24"/>
          <w:szCs w:val="24"/>
          <w:lang w:val="fr-CA"/>
        </w:rPr>
        <w:t xml:space="preserve">Présenté par le laboratoire de cognition et d'émotion du Dr Erin </w:t>
      </w:r>
      <w:proofErr w:type="spellStart"/>
      <w:r w:rsidRPr="5988664C" w:rsidR="0FDDFCFC">
        <w:rPr>
          <w:rStyle w:val="eop"/>
          <w:rFonts w:cs="Calibri" w:cstheme="minorAscii"/>
          <w:b w:val="1"/>
          <w:bCs w:val="1"/>
          <w:color w:val="000000" w:themeColor="text1" w:themeTint="FF" w:themeShade="FF"/>
          <w:sz w:val="24"/>
          <w:szCs w:val="24"/>
          <w:lang w:val="fr-CA"/>
        </w:rPr>
        <w:t>Maloney</w:t>
      </w:r>
      <w:proofErr w:type="spellEnd"/>
      <w:r w:rsidRPr="5988664C" w:rsidR="0FDDFCFC">
        <w:rPr>
          <w:rStyle w:val="eop"/>
          <w:rFonts w:cs="Calibri" w:cstheme="minorAscii"/>
          <w:b w:val="1"/>
          <w:bCs w:val="1"/>
          <w:color w:val="000000" w:themeColor="text1" w:themeTint="FF" w:themeShade="FF"/>
          <w:sz w:val="24"/>
          <w:szCs w:val="24"/>
          <w:lang w:val="fr-CA"/>
        </w:rPr>
        <w:t xml:space="preserve"> à l'Université d'Ottawa.   </w:t>
      </w:r>
    </w:p>
    <w:p w:rsidRPr="0010365E" w:rsidR="009D4FDD" w:rsidP="5988664C" w:rsidRDefault="009D4FDD" w14:paraId="4ADE26F0" w14:textId="2E5907A2">
      <w:pPr>
        <w:pStyle w:val="Normal"/>
        <w:rPr>
          <w:rStyle w:val="eop"/>
          <w:rFonts w:ascii="Calibri" w:hAnsi="Calibri" w:eastAsia="Calibri" w:cs="Calibri" w:asciiTheme="minorAscii" w:hAnsiTheme="minorAscii" w:eastAsiaTheme="minorAscii" w:cstheme="minorAscii"/>
          <w:b w:val="1"/>
          <w:bCs w:val="1"/>
          <w:color w:val="000000" w:themeColor="text1" w:themeTint="FF" w:themeShade="FF"/>
          <w:sz w:val="24"/>
          <w:szCs w:val="24"/>
          <w:lang w:val="fr-CA"/>
        </w:rPr>
      </w:pPr>
      <w:r w:rsidRPr="5988664C" w:rsidR="0FDDFCFC">
        <w:rPr>
          <w:rStyle w:val="eop"/>
          <w:rFonts w:ascii="Calibri" w:hAnsi="Calibri" w:eastAsia="Calibri" w:cs="Calibri" w:asciiTheme="minorAscii" w:hAnsiTheme="minorAscii" w:eastAsiaTheme="minorAscii" w:cstheme="minorAscii"/>
          <w:b w:val="1"/>
          <w:bCs w:val="1"/>
          <w:color w:val="000000" w:themeColor="text1" w:themeTint="FF" w:themeShade="FF"/>
          <w:sz w:val="24"/>
          <w:szCs w:val="24"/>
          <w:lang w:val="fr-CA"/>
        </w:rPr>
        <w:t xml:space="preserve">  </w:t>
      </w:r>
    </w:p>
    <w:p w:rsidRPr="00257611" w:rsidR="00BA7256" w:rsidRDefault="00BA7256" w14:paraId="06933083" w14:textId="77777777">
      <w:pPr>
        <w:rPr>
          <w:sz w:val="24"/>
          <w:szCs w:val="24"/>
          <w:lang w:val="fr-CA"/>
        </w:rPr>
      </w:pPr>
    </w:p>
    <w:p w:rsidRPr="00257611" w:rsidR="00D33DD6" w:rsidRDefault="00D33DD6" w14:paraId="4DFFA932" w14:textId="77777777">
      <w:pPr>
        <w:rPr>
          <w:sz w:val="24"/>
          <w:szCs w:val="24"/>
          <w:lang w:val="fr-CA"/>
        </w:rPr>
      </w:pPr>
    </w:p>
    <w:sectPr w:rsidRPr="00257611" w:rsidR="00D33DD6">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450230"/>
    <w:multiLevelType w:val="multilevel"/>
    <w:tmpl w:val="365007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248E1A57"/>
    <w:multiLevelType w:val="multilevel"/>
    <w:tmpl w:val="65AE63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24D12287"/>
    <w:multiLevelType w:val="multilevel"/>
    <w:tmpl w:val="951844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262A5F7C"/>
    <w:multiLevelType w:val="multilevel"/>
    <w:tmpl w:val="DB90BF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37A044BD"/>
    <w:multiLevelType w:val="multilevel"/>
    <w:tmpl w:val="A4DC39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6AB977A0"/>
    <w:multiLevelType w:val="multilevel"/>
    <w:tmpl w:val="0F128F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6F804E0C"/>
    <w:multiLevelType w:val="multilevel"/>
    <w:tmpl w:val="B2A858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733C2292"/>
    <w:multiLevelType w:val="multilevel"/>
    <w:tmpl w:val="CDE8BA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116486843">
    <w:abstractNumId w:val="4"/>
  </w:num>
  <w:num w:numId="2" w16cid:durableId="557743384">
    <w:abstractNumId w:val="1"/>
  </w:num>
  <w:num w:numId="3" w16cid:durableId="1241598852">
    <w:abstractNumId w:val="2"/>
  </w:num>
  <w:num w:numId="4" w16cid:durableId="993803756">
    <w:abstractNumId w:val="7"/>
  </w:num>
  <w:num w:numId="5" w16cid:durableId="953681448">
    <w:abstractNumId w:val="3"/>
  </w:num>
  <w:num w:numId="6" w16cid:durableId="1245532028">
    <w:abstractNumId w:val="5"/>
  </w:num>
  <w:num w:numId="7" w16cid:durableId="145174868">
    <w:abstractNumId w:val="0"/>
  </w:num>
  <w:num w:numId="8" w16cid:durableId="6110095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I0MTA3MrUwNTE0MbRU0lEKTi0uzszPAykwqgUAM1PdWSwAAAA="/>
  </w:docVars>
  <w:rsids>
    <w:rsidRoot w:val="00D33DD6"/>
    <w:rsid w:val="00030183"/>
    <w:rsid w:val="0004575A"/>
    <w:rsid w:val="00074589"/>
    <w:rsid w:val="000B2145"/>
    <w:rsid w:val="000B3681"/>
    <w:rsid w:val="000D15D5"/>
    <w:rsid w:val="000E170F"/>
    <w:rsid w:val="0010365E"/>
    <w:rsid w:val="00104E90"/>
    <w:rsid w:val="0011259E"/>
    <w:rsid w:val="00137377"/>
    <w:rsid w:val="00185E37"/>
    <w:rsid w:val="00192129"/>
    <w:rsid w:val="00193B1E"/>
    <w:rsid w:val="001958FB"/>
    <w:rsid w:val="001A7A56"/>
    <w:rsid w:val="001F6D37"/>
    <w:rsid w:val="00211AFC"/>
    <w:rsid w:val="00232BA5"/>
    <w:rsid w:val="00252935"/>
    <w:rsid w:val="00257611"/>
    <w:rsid w:val="0026216B"/>
    <w:rsid w:val="00264E25"/>
    <w:rsid w:val="002C2FCD"/>
    <w:rsid w:val="002E3C39"/>
    <w:rsid w:val="002F2257"/>
    <w:rsid w:val="00312209"/>
    <w:rsid w:val="00322880"/>
    <w:rsid w:val="00375749"/>
    <w:rsid w:val="003969F4"/>
    <w:rsid w:val="003A2A19"/>
    <w:rsid w:val="003C4956"/>
    <w:rsid w:val="003E0634"/>
    <w:rsid w:val="00432526"/>
    <w:rsid w:val="00447255"/>
    <w:rsid w:val="004A112F"/>
    <w:rsid w:val="004C0E47"/>
    <w:rsid w:val="00506B5E"/>
    <w:rsid w:val="00515A67"/>
    <w:rsid w:val="00533FC9"/>
    <w:rsid w:val="00563B72"/>
    <w:rsid w:val="005C69F8"/>
    <w:rsid w:val="005E3875"/>
    <w:rsid w:val="00627937"/>
    <w:rsid w:val="006551EF"/>
    <w:rsid w:val="00656227"/>
    <w:rsid w:val="00691588"/>
    <w:rsid w:val="006C0CC6"/>
    <w:rsid w:val="00767CF1"/>
    <w:rsid w:val="00777CFB"/>
    <w:rsid w:val="00791320"/>
    <w:rsid w:val="007D31C0"/>
    <w:rsid w:val="008325E6"/>
    <w:rsid w:val="0086678D"/>
    <w:rsid w:val="008702F8"/>
    <w:rsid w:val="008A3632"/>
    <w:rsid w:val="008E6BE7"/>
    <w:rsid w:val="0092097E"/>
    <w:rsid w:val="00935227"/>
    <w:rsid w:val="00951452"/>
    <w:rsid w:val="009A0604"/>
    <w:rsid w:val="009A75BB"/>
    <w:rsid w:val="009D4FDD"/>
    <w:rsid w:val="00A15E82"/>
    <w:rsid w:val="00AA335D"/>
    <w:rsid w:val="00AB5752"/>
    <w:rsid w:val="00AC57FD"/>
    <w:rsid w:val="00AE6765"/>
    <w:rsid w:val="00B12F2B"/>
    <w:rsid w:val="00B73110"/>
    <w:rsid w:val="00B85F84"/>
    <w:rsid w:val="00BA7256"/>
    <w:rsid w:val="00BD0769"/>
    <w:rsid w:val="00CC2530"/>
    <w:rsid w:val="00CE78ED"/>
    <w:rsid w:val="00D33DD6"/>
    <w:rsid w:val="00D46A14"/>
    <w:rsid w:val="00D50718"/>
    <w:rsid w:val="00D7177E"/>
    <w:rsid w:val="00D81F1C"/>
    <w:rsid w:val="00D90281"/>
    <w:rsid w:val="00DA787C"/>
    <w:rsid w:val="00DC5B0A"/>
    <w:rsid w:val="00DE7A7A"/>
    <w:rsid w:val="00DF13EB"/>
    <w:rsid w:val="00E27861"/>
    <w:rsid w:val="00E82D8D"/>
    <w:rsid w:val="00EB360C"/>
    <w:rsid w:val="00F940F1"/>
    <w:rsid w:val="00FD281C"/>
    <w:rsid w:val="021B7FF9"/>
    <w:rsid w:val="02FBFF2E"/>
    <w:rsid w:val="0B2BB663"/>
    <w:rsid w:val="0D88C61B"/>
    <w:rsid w:val="0DC39AE9"/>
    <w:rsid w:val="0FDDFCFC"/>
    <w:rsid w:val="182D208D"/>
    <w:rsid w:val="1CFFF392"/>
    <w:rsid w:val="209ABC55"/>
    <w:rsid w:val="2794979A"/>
    <w:rsid w:val="3147B2B6"/>
    <w:rsid w:val="322BBB14"/>
    <w:rsid w:val="38794CDF"/>
    <w:rsid w:val="3B649F2A"/>
    <w:rsid w:val="4727F93C"/>
    <w:rsid w:val="5988664C"/>
    <w:rsid w:val="60E33380"/>
    <w:rsid w:val="6ADCBBB7"/>
    <w:rsid w:val="6F0989BE"/>
    <w:rsid w:val="6F70187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FC261"/>
  <w15:chartTrackingRefBased/>
  <w15:docId w15:val="{28D5A768-625B-4CC9-8809-CD2F6969B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D33DD6"/>
    <w:pPr>
      <w:spacing w:before="100" w:beforeAutospacing="1" w:after="100" w:afterAutospacing="1" w:line="240" w:lineRule="auto"/>
    </w:pPr>
    <w:rPr>
      <w:rFonts w:ascii="Times New Roman" w:hAnsi="Times New Roman" w:eastAsia="Times New Roman" w:cs="Times New Roman"/>
      <w:sz w:val="24"/>
      <w:szCs w:val="24"/>
      <w:lang w:eastAsia="en-CA"/>
    </w:rPr>
  </w:style>
  <w:style w:type="character" w:styleId="normaltextrun" w:customStyle="1">
    <w:name w:val="normaltextrun"/>
    <w:basedOn w:val="DefaultParagraphFont"/>
    <w:rsid w:val="00D33DD6"/>
  </w:style>
  <w:style w:type="character" w:styleId="eop" w:customStyle="1">
    <w:name w:val="eop"/>
    <w:basedOn w:val="DefaultParagraphFont"/>
    <w:rsid w:val="00D33DD6"/>
  </w:style>
  <w:style w:type="paragraph" w:styleId="ListParagraph">
    <w:name w:val="List Paragraph"/>
    <w:basedOn w:val="Normal"/>
    <w:uiPriority w:val="34"/>
    <w:qFormat/>
    <w:rsid w:val="00BA7256"/>
    <w:pPr>
      <w:ind w:left="720"/>
      <w:contextualSpacing/>
    </w:pPr>
  </w:style>
  <w:style w:type="character" w:styleId="CommentReference">
    <w:name w:val="annotation reference"/>
    <w:basedOn w:val="DefaultParagraphFont"/>
    <w:uiPriority w:val="99"/>
    <w:semiHidden/>
    <w:unhideWhenUsed/>
    <w:rsid w:val="00AE6765"/>
    <w:rPr>
      <w:sz w:val="16"/>
      <w:szCs w:val="16"/>
    </w:rPr>
  </w:style>
  <w:style w:type="paragraph" w:styleId="CommentText">
    <w:name w:val="annotation text"/>
    <w:basedOn w:val="Normal"/>
    <w:link w:val="CommentTextChar"/>
    <w:uiPriority w:val="99"/>
    <w:unhideWhenUsed/>
    <w:rsid w:val="00AE6765"/>
    <w:pPr>
      <w:spacing w:line="240" w:lineRule="auto"/>
    </w:pPr>
    <w:rPr>
      <w:sz w:val="20"/>
      <w:szCs w:val="20"/>
    </w:rPr>
  </w:style>
  <w:style w:type="character" w:styleId="CommentTextChar" w:customStyle="1">
    <w:name w:val="Comment Text Char"/>
    <w:basedOn w:val="DefaultParagraphFont"/>
    <w:link w:val="CommentText"/>
    <w:uiPriority w:val="99"/>
    <w:rsid w:val="00AE6765"/>
    <w:rPr>
      <w:sz w:val="20"/>
      <w:szCs w:val="20"/>
    </w:rPr>
  </w:style>
  <w:style w:type="paragraph" w:styleId="CommentSubject">
    <w:name w:val="annotation subject"/>
    <w:basedOn w:val="CommentText"/>
    <w:next w:val="CommentText"/>
    <w:link w:val="CommentSubjectChar"/>
    <w:uiPriority w:val="99"/>
    <w:semiHidden/>
    <w:unhideWhenUsed/>
    <w:rsid w:val="00AE6765"/>
    <w:rPr>
      <w:b/>
      <w:bCs/>
    </w:rPr>
  </w:style>
  <w:style w:type="character" w:styleId="CommentSubjectChar" w:customStyle="1">
    <w:name w:val="Comment Subject Char"/>
    <w:basedOn w:val="CommentTextChar"/>
    <w:link w:val="CommentSubject"/>
    <w:uiPriority w:val="99"/>
    <w:semiHidden/>
    <w:rsid w:val="00AE676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840778">
      <w:bodyDiv w:val="1"/>
      <w:marLeft w:val="0"/>
      <w:marRight w:val="0"/>
      <w:marTop w:val="0"/>
      <w:marBottom w:val="0"/>
      <w:divBdr>
        <w:top w:val="none" w:sz="0" w:space="0" w:color="auto"/>
        <w:left w:val="none" w:sz="0" w:space="0" w:color="auto"/>
        <w:bottom w:val="none" w:sz="0" w:space="0" w:color="auto"/>
        <w:right w:val="none" w:sz="0" w:space="0" w:color="auto"/>
      </w:divBdr>
      <w:divsChild>
        <w:div w:id="42141682">
          <w:marLeft w:val="0"/>
          <w:marRight w:val="0"/>
          <w:marTop w:val="0"/>
          <w:marBottom w:val="0"/>
          <w:divBdr>
            <w:top w:val="none" w:sz="0" w:space="0" w:color="auto"/>
            <w:left w:val="none" w:sz="0" w:space="0" w:color="auto"/>
            <w:bottom w:val="none" w:sz="0" w:space="0" w:color="auto"/>
            <w:right w:val="none" w:sz="0" w:space="0" w:color="auto"/>
          </w:divBdr>
          <w:divsChild>
            <w:div w:id="1861814574">
              <w:marLeft w:val="0"/>
              <w:marRight w:val="0"/>
              <w:marTop w:val="0"/>
              <w:marBottom w:val="0"/>
              <w:divBdr>
                <w:top w:val="none" w:sz="0" w:space="0" w:color="auto"/>
                <w:left w:val="none" w:sz="0" w:space="0" w:color="auto"/>
                <w:bottom w:val="none" w:sz="0" w:space="0" w:color="auto"/>
                <w:right w:val="none" w:sz="0" w:space="0" w:color="auto"/>
              </w:divBdr>
            </w:div>
            <w:div w:id="2041471534">
              <w:marLeft w:val="0"/>
              <w:marRight w:val="0"/>
              <w:marTop w:val="0"/>
              <w:marBottom w:val="0"/>
              <w:divBdr>
                <w:top w:val="none" w:sz="0" w:space="0" w:color="auto"/>
                <w:left w:val="none" w:sz="0" w:space="0" w:color="auto"/>
                <w:bottom w:val="none" w:sz="0" w:space="0" w:color="auto"/>
                <w:right w:val="none" w:sz="0" w:space="0" w:color="auto"/>
              </w:divBdr>
            </w:div>
            <w:div w:id="660083601">
              <w:marLeft w:val="0"/>
              <w:marRight w:val="0"/>
              <w:marTop w:val="0"/>
              <w:marBottom w:val="0"/>
              <w:divBdr>
                <w:top w:val="none" w:sz="0" w:space="0" w:color="auto"/>
                <w:left w:val="none" w:sz="0" w:space="0" w:color="auto"/>
                <w:bottom w:val="none" w:sz="0" w:space="0" w:color="auto"/>
                <w:right w:val="none" w:sz="0" w:space="0" w:color="auto"/>
              </w:divBdr>
            </w:div>
            <w:div w:id="695622663">
              <w:marLeft w:val="0"/>
              <w:marRight w:val="0"/>
              <w:marTop w:val="0"/>
              <w:marBottom w:val="0"/>
              <w:divBdr>
                <w:top w:val="none" w:sz="0" w:space="0" w:color="auto"/>
                <w:left w:val="none" w:sz="0" w:space="0" w:color="auto"/>
                <w:bottom w:val="none" w:sz="0" w:space="0" w:color="auto"/>
                <w:right w:val="none" w:sz="0" w:space="0" w:color="auto"/>
              </w:divBdr>
            </w:div>
            <w:div w:id="30350461">
              <w:marLeft w:val="0"/>
              <w:marRight w:val="0"/>
              <w:marTop w:val="0"/>
              <w:marBottom w:val="0"/>
              <w:divBdr>
                <w:top w:val="none" w:sz="0" w:space="0" w:color="auto"/>
                <w:left w:val="none" w:sz="0" w:space="0" w:color="auto"/>
                <w:bottom w:val="none" w:sz="0" w:space="0" w:color="auto"/>
                <w:right w:val="none" w:sz="0" w:space="0" w:color="auto"/>
              </w:divBdr>
            </w:div>
          </w:divsChild>
        </w:div>
        <w:div w:id="393552626">
          <w:marLeft w:val="0"/>
          <w:marRight w:val="0"/>
          <w:marTop w:val="0"/>
          <w:marBottom w:val="0"/>
          <w:divBdr>
            <w:top w:val="none" w:sz="0" w:space="0" w:color="auto"/>
            <w:left w:val="none" w:sz="0" w:space="0" w:color="auto"/>
            <w:bottom w:val="none" w:sz="0" w:space="0" w:color="auto"/>
            <w:right w:val="none" w:sz="0" w:space="0" w:color="auto"/>
          </w:divBdr>
          <w:divsChild>
            <w:div w:id="1286304966">
              <w:marLeft w:val="0"/>
              <w:marRight w:val="0"/>
              <w:marTop w:val="0"/>
              <w:marBottom w:val="0"/>
              <w:divBdr>
                <w:top w:val="none" w:sz="0" w:space="0" w:color="auto"/>
                <w:left w:val="none" w:sz="0" w:space="0" w:color="auto"/>
                <w:bottom w:val="none" w:sz="0" w:space="0" w:color="auto"/>
                <w:right w:val="none" w:sz="0" w:space="0" w:color="auto"/>
              </w:divBdr>
            </w:div>
            <w:div w:id="1769540696">
              <w:marLeft w:val="0"/>
              <w:marRight w:val="0"/>
              <w:marTop w:val="0"/>
              <w:marBottom w:val="0"/>
              <w:divBdr>
                <w:top w:val="none" w:sz="0" w:space="0" w:color="auto"/>
                <w:left w:val="none" w:sz="0" w:space="0" w:color="auto"/>
                <w:bottom w:val="none" w:sz="0" w:space="0" w:color="auto"/>
                <w:right w:val="none" w:sz="0" w:space="0" w:color="auto"/>
              </w:divBdr>
            </w:div>
            <w:div w:id="328872393">
              <w:marLeft w:val="0"/>
              <w:marRight w:val="0"/>
              <w:marTop w:val="0"/>
              <w:marBottom w:val="0"/>
              <w:divBdr>
                <w:top w:val="none" w:sz="0" w:space="0" w:color="auto"/>
                <w:left w:val="none" w:sz="0" w:space="0" w:color="auto"/>
                <w:bottom w:val="none" w:sz="0" w:space="0" w:color="auto"/>
                <w:right w:val="none" w:sz="0" w:space="0" w:color="auto"/>
              </w:divBdr>
            </w:div>
            <w:div w:id="1994749137">
              <w:marLeft w:val="0"/>
              <w:marRight w:val="0"/>
              <w:marTop w:val="0"/>
              <w:marBottom w:val="0"/>
              <w:divBdr>
                <w:top w:val="none" w:sz="0" w:space="0" w:color="auto"/>
                <w:left w:val="none" w:sz="0" w:space="0" w:color="auto"/>
                <w:bottom w:val="none" w:sz="0" w:space="0" w:color="auto"/>
                <w:right w:val="none" w:sz="0" w:space="0" w:color="auto"/>
              </w:divBdr>
            </w:div>
          </w:divsChild>
        </w:div>
        <w:div w:id="875389347">
          <w:marLeft w:val="0"/>
          <w:marRight w:val="0"/>
          <w:marTop w:val="0"/>
          <w:marBottom w:val="0"/>
          <w:divBdr>
            <w:top w:val="none" w:sz="0" w:space="0" w:color="auto"/>
            <w:left w:val="none" w:sz="0" w:space="0" w:color="auto"/>
            <w:bottom w:val="none" w:sz="0" w:space="0" w:color="auto"/>
            <w:right w:val="none" w:sz="0" w:space="0" w:color="auto"/>
          </w:divBdr>
          <w:divsChild>
            <w:div w:id="505020752">
              <w:marLeft w:val="0"/>
              <w:marRight w:val="0"/>
              <w:marTop w:val="0"/>
              <w:marBottom w:val="0"/>
              <w:divBdr>
                <w:top w:val="none" w:sz="0" w:space="0" w:color="auto"/>
                <w:left w:val="none" w:sz="0" w:space="0" w:color="auto"/>
                <w:bottom w:val="none" w:sz="0" w:space="0" w:color="auto"/>
                <w:right w:val="none" w:sz="0" w:space="0" w:color="auto"/>
              </w:divBdr>
            </w:div>
            <w:div w:id="482626738">
              <w:marLeft w:val="0"/>
              <w:marRight w:val="0"/>
              <w:marTop w:val="0"/>
              <w:marBottom w:val="0"/>
              <w:divBdr>
                <w:top w:val="none" w:sz="0" w:space="0" w:color="auto"/>
                <w:left w:val="none" w:sz="0" w:space="0" w:color="auto"/>
                <w:bottom w:val="none" w:sz="0" w:space="0" w:color="auto"/>
                <w:right w:val="none" w:sz="0" w:space="0" w:color="auto"/>
              </w:divBdr>
            </w:div>
            <w:div w:id="1656029304">
              <w:marLeft w:val="0"/>
              <w:marRight w:val="0"/>
              <w:marTop w:val="0"/>
              <w:marBottom w:val="0"/>
              <w:divBdr>
                <w:top w:val="none" w:sz="0" w:space="0" w:color="auto"/>
                <w:left w:val="none" w:sz="0" w:space="0" w:color="auto"/>
                <w:bottom w:val="none" w:sz="0" w:space="0" w:color="auto"/>
                <w:right w:val="none" w:sz="0" w:space="0" w:color="auto"/>
              </w:divBdr>
            </w:div>
            <w:div w:id="109713961">
              <w:marLeft w:val="0"/>
              <w:marRight w:val="0"/>
              <w:marTop w:val="0"/>
              <w:marBottom w:val="0"/>
              <w:divBdr>
                <w:top w:val="none" w:sz="0" w:space="0" w:color="auto"/>
                <w:left w:val="none" w:sz="0" w:space="0" w:color="auto"/>
                <w:bottom w:val="none" w:sz="0" w:space="0" w:color="auto"/>
                <w:right w:val="none" w:sz="0" w:space="0" w:color="auto"/>
              </w:divBdr>
            </w:div>
            <w:div w:id="1444183223">
              <w:marLeft w:val="0"/>
              <w:marRight w:val="0"/>
              <w:marTop w:val="0"/>
              <w:marBottom w:val="0"/>
              <w:divBdr>
                <w:top w:val="none" w:sz="0" w:space="0" w:color="auto"/>
                <w:left w:val="none" w:sz="0" w:space="0" w:color="auto"/>
                <w:bottom w:val="none" w:sz="0" w:space="0" w:color="auto"/>
                <w:right w:val="none" w:sz="0" w:space="0" w:color="auto"/>
              </w:divBdr>
            </w:div>
          </w:divsChild>
        </w:div>
        <w:div w:id="150412758">
          <w:marLeft w:val="0"/>
          <w:marRight w:val="0"/>
          <w:marTop w:val="0"/>
          <w:marBottom w:val="0"/>
          <w:divBdr>
            <w:top w:val="none" w:sz="0" w:space="0" w:color="auto"/>
            <w:left w:val="none" w:sz="0" w:space="0" w:color="auto"/>
            <w:bottom w:val="none" w:sz="0" w:space="0" w:color="auto"/>
            <w:right w:val="none" w:sz="0" w:space="0" w:color="auto"/>
          </w:divBdr>
          <w:divsChild>
            <w:div w:id="1541698315">
              <w:marLeft w:val="0"/>
              <w:marRight w:val="0"/>
              <w:marTop w:val="0"/>
              <w:marBottom w:val="0"/>
              <w:divBdr>
                <w:top w:val="none" w:sz="0" w:space="0" w:color="auto"/>
                <w:left w:val="none" w:sz="0" w:space="0" w:color="auto"/>
                <w:bottom w:val="none" w:sz="0" w:space="0" w:color="auto"/>
                <w:right w:val="none" w:sz="0" w:space="0" w:color="auto"/>
              </w:divBdr>
            </w:div>
            <w:div w:id="241792131">
              <w:marLeft w:val="0"/>
              <w:marRight w:val="0"/>
              <w:marTop w:val="0"/>
              <w:marBottom w:val="0"/>
              <w:divBdr>
                <w:top w:val="none" w:sz="0" w:space="0" w:color="auto"/>
                <w:left w:val="none" w:sz="0" w:space="0" w:color="auto"/>
                <w:bottom w:val="none" w:sz="0" w:space="0" w:color="auto"/>
                <w:right w:val="none" w:sz="0" w:space="0" w:color="auto"/>
              </w:divBdr>
            </w:div>
            <w:div w:id="822548883">
              <w:marLeft w:val="0"/>
              <w:marRight w:val="0"/>
              <w:marTop w:val="0"/>
              <w:marBottom w:val="0"/>
              <w:divBdr>
                <w:top w:val="none" w:sz="0" w:space="0" w:color="auto"/>
                <w:left w:val="none" w:sz="0" w:space="0" w:color="auto"/>
                <w:bottom w:val="none" w:sz="0" w:space="0" w:color="auto"/>
                <w:right w:val="none" w:sz="0" w:space="0" w:color="auto"/>
              </w:divBdr>
            </w:div>
            <w:div w:id="562447313">
              <w:marLeft w:val="0"/>
              <w:marRight w:val="0"/>
              <w:marTop w:val="0"/>
              <w:marBottom w:val="0"/>
              <w:divBdr>
                <w:top w:val="none" w:sz="0" w:space="0" w:color="auto"/>
                <w:left w:val="none" w:sz="0" w:space="0" w:color="auto"/>
                <w:bottom w:val="none" w:sz="0" w:space="0" w:color="auto"/>
                <w:right w:val="none" w:sz="0" w:space="0" w:color="auto"/>
              </w:divBdr>
            </w:div>
            <w:div w:id="1099833303">
              <w:marLeft w:val="0"/>
              <w:marRight w:val="0"/>
              <w:marTop w:val="0"/>
              <w:marBottom w:val="0"/>
              <w:divBdr>
                <w:top w:val="none" w:sz="0" w:space="0" w:color="auto"/>
                <w:left w:val="none" w:sz="0" w:space="0" w:color="auto"/>
                <w:bottom w:val="none" w:sz="0" w:space="0" w:color="auto"/>
                <w:right w:val="none" w:sz="0" w:space="0" w:color="auto"/>
              </w:divBdr>
            </w:div>
          </w:divsChild>
        </w:div>
        <w:div w:id="1822457607">
          <w:marLeft w:val="0"/>
          <w:marRight w:val="0"/>
          <w:marTop w:val="0"/>
          <w:marBottom w:val="0"/>
          <w:divBdr>
            <w:top w:val="none" w:sz="0" w:space="0" w:color="auto"/>
            <w:left w:val="none" w:sz="0" w:space="0" w:color="auto"/>
            <w:bottom w:val="none" w:sz="0" w:space="0" w:color="auto"/>
            <w:right w:val="none" w:sz="0" w:space="0" w:color="auto"/>
          </w:divBdr>
          <w:divsChild>
            <w:div w:id="250743334">
              <w:marLeft w:val="0"/>
              <w:marRight w:val="0"/>
              <w:marTop w:val="0"/>
              <w:marBottom w:val="0"/>
              <w:divBdr>
                <w:top w:val="none" w:sz="0" w:space="0" w:color="auto"/>
                <w:left w:val="none" w:sz="0" w:space="0" w:color="auto"/>
                <w:bottom w:val="none" w:sz="0" w:space="0" w:color="auto"/>
                <w:right w:val="none" w:sz="0" w:space="0" w:color="auto"/>
              </w:divBdr>
            </w:div>
            <w:div w:id="1769347926">
              <w:marLeft w:val="0"/>
              <w:marRight w:val="0"/>
              <w:marTop w:val="0"/>
              <w:marBottom w:val="0"/>
              <w:divBdr>
                <w:top w:val="none" w:sz="0" w:space="0" w:color="auto"/>
                <w:left w:val="none" w:sz="0" w:space="0" w:color="auto"/>
                <w:bottom w:val="none" w:sz="0" w:space="0" w:color="auto"/>
                <w:right w:val="none" w:sz="0" w:space="0" w:color="auto"/>
              </w:divBdr>
            </w:div>
            <w:div w:id="1112670938">
              <w:marLeft w:val="0"/>
              <w:marRight w:val="0"/>
              <w:marTop w:val="0"/>
              <w:marBottom w:val="0"/>
              <w:divBdr>
                <w:top w:val="none" w:sz="0" w:space="0" w:color="auto"/>
                <w:left w:val="none" w:sz="0" w:space="0" w:color="auto"/>
                <w:bottom w:val="none" w:sz="0" w:space="0" w:color="auto"/>
                <w:right w:val="none" w:sz="0" w:space="0" w:color="auto"/>
              </w:divBdr>
            </w:div>
            <w:div w:id="604504809">
              <w:marLeft w:val="0"/>
              <w:marRight w:val="0"/>
              <w:marTop w:val="0"/>
              <w:marBottom w:val="0"/>
              <w:divBdr>
                <w:top w:val="none" w:sz="0" w:space="0" w:color="auto"/>
                <w:left w:val="none" w:sz="0" w:space="0" w:color="auto"/>
                <w:bottom w:val="none" w:sz="0" w:space="0" w:color="auto"/>
                <w:right w:val="none" w:sz="0" w:space="0" w:color="auto"/>
              </w:divBdr>
            </w:div>
            <w:div w:id="607659447">
              <w:marLeft w:val="0"/>
              <w:marRight w:val="0"/>
              <w:marTop w:val="0"/>
              <w:marBottom w:val="0"/>
              <w:divBdr>
                <w:top w:val="none" w:sz="0" w:space="0" w:color="auto"/>
                <w:left w:val="none" w:sz="0" w:space="0" w:color="auto"/>
                <w:bottom w:val="none" w:sz="0" w:space="0" w:color="auto"/>
                <w:right w:val="none" w:sz="0" w:space="0" w:color="auto"/>
              </w:divBdr>
            </w:div>
          </w:divsChild>
        </w:div>
        <w:div w:id="1257052351">
          <w:marLeft w:val="0"/>
          <w:marRight w:val="0"/>
          <w:marTop w:val="0"/>
          <w:marBottom w:val="0"/>
          <w:divBdr>
            <w:top w:val="none" w:sz="0" w:space="0" w:color="auto"/>
            <w:left w:val="none" w:sz="0" w:space="0" w:color="auto"/>
            <w:bottom w:val="none" w:sz="0" w:space="0" w:color="auto"/>
            <w:right w:val="none" w:sz="0" w:space="0" w:color="auto"/>
          </w:divBdr>
        </w:div>
        <w:div w:id="19789934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8" ma:contentTypeDescription="Create a new document." ma:contentTypeScope="" ma:versionID="61361462761bdaa9002f7d966095b22d">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dbeb0dfc13d019e669456180c5a4aa78"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F6ADFC92-163E-49FE-B3BF-3674FA354C8B}"/>
</file>

<file path=customXml/itemProps2.xml><?xml version="1.0" encoding="utf-8"?>
<ds:datastoreItem xmlns:ds="http://schemas.openxmlformats.org/officeDocument/2006/customXml" ds:itemID="{0BB0F30B-FBBF-455A-AC82-579C6B143766}"/>
</file>

<file path=customXml/itemProps3.xml><?xml version="1.0" encoding="utf-8"?>
<ds:datastoreItem xmlns:ds="http://schemas.openxmlformats.org/officeDocument/2006/customXml" ds:itemID="{65C85B9F-5FB4-4987-8920-1F92ADEF9B6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Diya Kamineni</dc:creator>
  <cp:keywords/>
  <dc:description/>
  <cp:lastModifiedBy>Elora Wales</cp:lastModifiedBy>
  <cp:revision>89</cp:revision>
  <dcterms:created xsi:type="dcterms:W3CDTF">2022-07-19T01:37:00Z</dcterms:created>
  <dcterms:modified xsi:type="dcterms:W3CDTF">2022-09-12T14:19:14Z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