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787A5" w14:textId="6B1706F6" w:rsidR="002C0947" w:rsidRDefault="617701F7" w:rsidP="736CBE90">
      <w:pPr>
        <w:rPr>
          <w:b/>
          <w:bCs/>
          <w:sz w:val="24"/>
          <w:szCs w:val="24"/>
        </w:rPr>
      </w:pPr>
      <w:r w:rsidRPr="736CBE90">
        <w:rPr>
          <w:b/>
          <w:bCs/>
          <w:sz w:val="24"/>
          <w:szCs w:val="24"/>
        </w:rPr>
        <w:t>Titre :</w:t>
      </w:r>
      <w:r w:rsidR="7BA2D5B9" w:rsidRPr="736CBE90">
        <w:rPr>
          <w:b/>
          <w:bCs/>
          <w:sz w:val="24"/>
          <w:szCs w:val="24"/>
        </w:rPr>
        <w:t xml:space="preserve"> </w:t>
      </w:r>
    </w:p>
    <w:p w14:paraId="01F9406D" w14:textId="5BAAAA1D" w:rsidR="7BA2D5B9" w:rsidRDefault="7BA2D5B9" w:rsidP="736CBE90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736CBE90">
        <w:rPr>
          <w:sz w:val="24"/>
          <w:szCs w:val="24"/>
        </w:rPr>
        <w:t xml:space="preserve">Quel est le rôle des maths : </w:t>
      </w:r>
      <w:r w:rsidR="004200DE">
        <w:rPr>
          <w:sz w:val="24"/>
          <w:szCs w:val="24"/>
        </w:rPr>
        <w:t>é</w:t>
      </w:r>
      <w:r w:rsidR="75DB94B8" w:rsidRPr="736CBE90">
        <w:rPr>
          <w:sz w:val="24"/>
          <w:szCs w:val="24"/>
        </w:rPr>
        <w:t>tablir des relations nuancées entre l'anxiété liée aux mathématiques, l'anxiété financière et la littératie financière</w:t>
      </w:r>
    </w:p>
    <w:p w14:paraId="18740EE5" w14:textId="7A95BCDF" w:rsidR="7BA2D5B9" w:rsidRDefault="7BA2D5B9" w:rsidP="736CBE90">
      <w:pPr>
        <w:rPr>
          <w:b/>
          <w:bCs/>
          <w:sz w:val="24"/>
          <w:szCs w:val="24"/>
        </w:rPr>
      </w:pPr>
      <w:r w:rsidRPr="736CBE90">
        <w:rPr>
          <w:b/>
          <w:bCs/>
          <w:sz w:val="24"/>
          <w:szCs w:val="24"/>
        </w:rPr>
        <w:t>Auteurs</w:t>
      </w:r>
      <w:r w:rsidR="48357B1F" w:rsidRPr="736CBE90">
        <w:rPr>
          <w:b/>
          <w:bCs/>
          <w:sz w:val="24"/>
          <w:szCs w:val="24"/>
        </w:rPr>
        <w:t xml:space="preserve"> : </w:t>
      </w:r>
    </w:p>
    <w:p w14:paraId="7F11FA1A" w14:textId="2E629673" w:rsidR="48357B1F" w:rsidRDefault="48357B1F" w:rsidP="736CBE90">
      <w:pPr>
        <w:pStyle w:val="ListParagraph"/>
        <w:numPr>
          <w:ilvl w:val="0"/>
          <w:numId w:val="9"/>
        </w:numPr>
      </w:pPr>
      <w:r w:rsidRPr="736CBE9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Andie Storozuk &amp; Erin A. Maloney (2023)</w:t>
      </w:r>
    </w:p>
    <w:p w14:paraId="55367C70" w14:textId="555FBF42" w:rsidR="7BA2D5B9" w:rsidRDefault="7BA2D5B9" w:rsidP="736CBE90">
      <w:pPr>
        <w:rPr>
          <w:b/>
          <w:bCs/>
          <w:sz w:val="24"/>
          <w:szCs w:val="24"/>
        </w:rPr>
      </w:pPr>
      <w:r w:rsidRPr="736CBE90">
        <w:rPr>
          <w:b/>
          <w:bCs/>
          <w:sz w:val="24"/>
          <w:szCs w:val="24"/>
        </w:rPr>
        <w:t>Journal et DOI</w:t>
      </w:r>
    </w:p>
    <w:p w14:paraId="0A6DDCB0" w14:textId="0ED23ED5" w:rsidR="67DD985B" w:rsidRDefault="67DD985B" w:rsidP="736CBE90">
      <w:pPr>
        <w:pStyle w:val="ListParagraph"/>
        <w:numPr>
          <w:ilvl w:val="0"/>
          <w:numId w:val="8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36CBE90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Journal of Risk and Financial Management, 16(4), 238</w:t>
      </w:r>
    </w:p>
    <w:p w14:paraId="4C3288F1" w14:textId="13D831C7" w:rsidR="67DD985B" w:rsidRDefault="67DD985B" w:rsidP="736CBE90">
      <w:pPr>
        <w:pStyle w:val="ListParagraph"/>
        <w:numPr>
          <w:ilvl w:val="0"/>
          <w:numId w:val="8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hyperlink r:id="rId8">
        <w:r w:rsidRPr="736CBE90">
          <w:rPr>
            <w:rStyle w:val="Hyperlink"/>
            <w:rFonts w:ascii="Calibri" w:eastAsia="Calibri" w:hAnsi="Calibri" w:cs="Calibri"/>
            <w:color w:val="000000" w:themeColor="text1"/>
            <w:sz w:val="24"/>
            <w:szCs w:val="24"/>
            <w:lang w:val="en-US"/>
          </w:rPr>
          <w:t>https://doi.org/10.3390/jrfm16040238</w:t>
        </w:r>
      </w:hyperlink>
    </w:p>
    <w:p w14:paraId="6F1360A8" w14:textId="76B3FF2B" w:rsidR="7BA2D5B9" w:rsidRDefault="7BA2D5B9" w:rsidP="736CBE90">
      <w:pPr>
        <w:rPr>
          <w:b/>
          <w:bCs/>
          <w:sz w:val="24"/>
          <w:szCs w:val="24"/>
        </w:rPr>
      </w:pPr>
      <w:r w:rsidRPr="736CBE90">
        <w:rPr>
          <w:b/>
          <w:bCs/>
          <w:sz w:val="24"/>
          <w:szCs w:val="24"/>
        </w:rPr>
        <w:t xml:space="preserve">Recherche précédente </w:t>
      </w:r>
    </w:p>
    <w:p w14:paraId="513C27B2" w14:textId="7FA66D7E" w:rsidR="47300AF4" w:rsidRDefault="47300AF4" w:rsidP="736CBE90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4"/>
          <w:szCs w:val="24"/>
        </w:rPr>
      </w:pPr>
      <w:r w:rsidRPr="736CBE90">
        <w:rPr>
          <w:rFonts w:ascii="Calibri" w:eastAsia="Calibri" w:hAnsi="Calibri" w:cs="Calibri"/>
          <w:sz w:val="24"/>
          <w:szCs w:val="24"/>
        </w:rPr>
        <w:t xml:space="preserve">De nombreuses personnes n'ont pas de connaissances financières (Lusardi, 2015; OCDE, 2016). </w:t>
      </w:r>
    </w:p>
    <w:p w14:paraId="582A35F2" w14:textId="5F996D65" w:rsidR="47300AF4" w:rsidRDefault="47300AF4" w:rsidP="736CBE90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4"/>
          <w:szCs w:val="24"/>
        </w:rPr>
      </w:pPr>
      <w:r w:rsidRPr="736CBE90">
        <w:rPr>
          <w:rFonts w:ascii="Calibri" w:eastAsia="Calibri" w:hAnsi="Calibri" w:cs="Calibri"/>
          <w:sz w:val="24"/>
          <w:szCs w:val="24"/>
        </w:rPr>
        <w:t xml:space="preserve">La littératie financière est composée de quatre sous-volets : les connaissances financières, la confiance financière, les attitudes financières et le comportement financier (Agence de la consommation en matière financière du Canada, 2015; OCDE, 2016). </w:t>
      </w:r>
    </w:p>
    <w:p w14:paraId="3F84FB7D" w14:textId="351E69B4" w:rsidR="47300AF4" w:rsidRDefault="47300AF4" w:rsidP="736CBE90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4"/>
          <w:szCs w:val="24"/>
        </w:rPr>
      </w:pPr>
      <w:r w:rsidRPr="736CBE90">
        <w:rPr>
          <w:rFonts w:ascii="Calibri" w:eastAsia="Calibri" w:hAnsi="Calibri" w:cs="Calibri"/>
          <w:sz w:val="24"/>
          <w:szCs w:val="24"/>
        </w:rPr>
        <w:t>Il n'est pas clair si l'anxiété au sujet des mathématiques ou des finances est liée à une, plusieurs ou toutes les sous-constructions.</w:t>
      </w:r>
    </w:p>
    <w:p w14:paraId="6B159E65" w14:textId="137199AC" w:rsidR="7BA2D5B9" w:rsidRDefault="7BA2D5B9" w:rsidP="736CBE90">
      <w:pPr>
        <w:rPr>
          <w:b/>
          <w:bCs/>
          <w:sz w:val="24"/>
          <w:szCs w:val="24"/>
        </w:rPr>
      </w:pPr>
      <w:r w:rsidRPr="066E7B29">
        <w:rPr>
          <w:b/>
          <w:bCs/>
          <w:sz w:val="24"/>
          <w:szCs w:val="24"/>
        </w:rPr>
        <w:t xml:space="preserve">Quels étaient nos objectifs </w:t>
      </w:r>
      <w:r w:rsidR="4B4F3629" w:rsidRPr="066E7B29">
        <w:rPr>
          <w:b/>
          <w:bCs/>
          <w:sz w:val="24"/>
          <w:szCs w:val="24"/>
        </w:rPr>
        <w:t>?</w:t>
      </w:r>
    </w:p>
    <w:p w14:paraId="457B71CB" w14:textId="794E8CA6" w:rsidR="3E133EF3" w:rsidRDefault="3E133EF3" w:rsidP="736CBE9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736CBE90">
        <w:rPr>
          <w:sz w:val="24"/>
          <w:szCs w:val="24"/>
        </w:rPr>
        <w:t>Objectif 1 : Séparer les éléments de connaissances financières en fonction du contenu mathématique. Les éléments qui nécessitent des compétences en mathématiques représentent des « connaissances financières mathématiques » et des éléments qui ne représentent pas des « connaissances financières conceptuelles ».</w:t>
      </w:r>
    </w:p>
    <w:p w14:paraId="76007DAF" w14:textId="59D70CA6" w:rsidR="3E133EF3" w:rsidRDefault="3E133EF3" w:rsidP="736CBE9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736CBE90">
        <w:rPr>
          <w:sz w:val="24"/>
          <w:szCs w:val="24"/>
        </w:rPr>
        <w:t>Objectif 2 : Examiner les relations entre l'anxiété (c.-à-d. les mathématiques et les finances) et chaque sous-construction de la littératie financière.</w:t>
      </w:r>
    </w:p>
    <w:p w14:paraId="6ABB257A" w14:textId="41DF96B6" w:rsidR="7BA2D5B9" w:rsidRDefault="7BA2D5B9" w:rsidP="736CBE90">
      <w:pPr>
        <w:rPr>
          <w:b/>
          <w:bCs/>
          <w:sz w:val="24"/>
          <w:szCs w:val="24"/>
        </w:rPr>
      </w:pPr>
      <w:r w:rsidRPr="736CBE90">
        <w:rPr>
          <w:b/>
          <w:bCs/>
          <w:sz w:val="24"/>
          <w:szCs w:val="24"/>
        </w:rPr>
        <w:t>Comment l’avons nous fait</w:t>
      </w:r>
    </w:p>
    <w:p w14:paraId="29A58EA0" w14:textId="70EF0C2E" w:rsidR="029A8867" w:rsidRDefault="029A8867" w:rsidP="736CBE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736CBE90">
        <w:rPr>
          <w:sz w:val="24"/>
          <w:szCs w:val="24"/>
        </w:rPr>
        <w:t xml:space="preserve">Adultes </w:t>
      </w:r>
      <w:r w:rsidR="004200DE">
        <w:rPr>
          <w:sz w:val="24"/>
          <w:szCs w:val="24"/>
        </w:rPr>
        <w:t>c</w:t>
      </w:r>
      <w:r w:rsidRPr="736CBE90">
        <w:rPr>
          <w:sz w:val="24"/>
          <w:szCs w:val="24"/>
        </w:rPr>
        <w:t>anadiens (N=241) ont complété une enquête en ligne de 30 minutes</w:t>
      </w:r>
      <w:r w:rsidR="004200DE">
        <w:rPr>
          <w:sz w:val="24"/>
          <w:szCs w:val="24"/>
        </w:rPr>
        <w:t>.</w:t>
      </w:r>
      <w:r w:rsidRPr="736CBE90">
        <w:rPr>
          <w:sz w:val="24"/>
          <w:szCs w:val="24"/>
        </w:rPr>
        <w:t xml:space="preserve"> </w:t>
      </w:r>
    </w:p>
    <w:p w14:paraId="74D96D1B" w14:textId="5F2B3095" w:rsidR="7BA2D5B9" w:rsidRDefault="7BA2D5B9" w:rsidP="736CBE90">
      <w:pPr>
        <w:rPr>
          <w:b/>
          <w:bCs/>
          <w:sz w:val="24"/>
          <w:szCs w:val="24"/>
        </w:rPr>
      </w:pPr>
      <w:r w:rsidRPr="736CBE90">
        <w:rPr>
          <w:b/>
          <w:bCs/>
          <w:sz w:val="24"/>
          <w:szCs w:val="24"/>
        </w:rPr>
        <w:t xml:space="preserve">Résultats </w:t>
      </w:r>
    </w:p>
    <w:p w14:paraId="23CDDECA" w14:textId="454C31BB" w:rsidR="68539163" w:rsidRDefault="68539163" w:rsidP="736CBE9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36CBE90">
        <w:rPr>
          <w:sz w:val="24"/>
          <w:szCs w:val="24"/>
        </w:rPr>
        <w:t>L'anxiété liée aux mathématiques était négativement liée aux connaissances financières mathématiques, mais n'était pas liée aux connaissances financières conceptuelles, à la confiance financière ou au comportement financier.</w:t>
      </w:r>
    </w:p>
    <w:p w14:paraId="53D83C95" w14:textId="261DA5F2" w:rsidR="68539163" w:rsidRDefault="68539163" w:rsidP="736CBE9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736CBE90">
        <w:rPr>
          <w:sz w:val="24"/>
          <w:szCs w:val="24"/>
        </w:rPr>
        <w:t>L'anxiété financière était négativement liée aux connaissances financières mathématiques et conceptuelles, à la confiance financière et au comportement financier idéal.</w:t>
      </w:r>
    </w:p>
    <w:p w14:paraId="0ABE7935" w14:textId="02361911" w:rsidR="736CBE90" w:rsidRDefault="736CBE90" w:rsidP="736CBE90">
      <w:pPr>
        <w:rPr>
          <w:sz w:val="24"/>
          <w:szCs w:val="24"/>
        </w:rPr>
      </w:pPr>
    </w:p>
    <w:p w14:paraId="1BA9B69B" w14:textId="3FEA26D5" w:rsidR="736CBE90" w:rsidRDefault="736CBE90" w:rsidP="736CBE90">
      <w:pPr>
        <w:rPr>
          <w:sz w:val="24"/>
          <w:szCs w:val="24"/>
        </w:rPr>
      </w:pPr>
    </w:p>
    <w:p w14:paraId="56E8F283" w14:textId="5DAEB7AF" w:rsidR="7BA2D5B9" w:rsidRDefault="7BA2D5B9" w:rsidP="736CBE90">
      <w:pPr>
        <w:rPr>
          <w:b/>
          <w:bCs/>
          <w:sz w:val="24"/>
          <w:szCs w:val="24"/>
        </w:rPr>
      </w:pPr>
      <w:r w:rsidRPr="066E7B29">
        <w:rPr>
          <w:b/>
          <w:bCs/>
          <w:sz w:val="24"/>
          <w:szCs w:val="24"/>
        </w:rPr>
        <w:lastRenderedPageBreak/>
        <w:t xml:space="preserve">Message </w:t>
      </w:r>
      <w:r w:rsidR="460F1C19" w:rsidRPr="066E7B29">
        <w:rPr>
          <w:b/>
          <w:bCs/>
          <w:sz w:val="24"/>
          <w:szCs w:val="24"/>
        </w:rPr>
        <w:t>à</w:t>
      </w:r>
      <w:r w:rsidRPr="066E7B29">
        <w:rPr>
          <w:b/>
          <w:bCs/>
          <w:sz w:val="24"/>
          <w:szCs w:val="24"/>
        </w:rPr>
        <w:t xml:space="preserve"> retenir </w:t>
      </w:r>
    </w:p>
    <w:p w14:paraId="7945D892" w14:textId="5DDC3CED" w:rsidR="739B5823" w:rsidRDefault="739B5823" w:rsidP="736CBE9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736CBE90">
        <w:rPr>
          <w:sz w:val="24"/>
          <w:szCs w:val="24"/>
        </w:rPr>
        <w:t>Fournir des informations financières ne suffit pas à assurer une population instruite en matière de finances – les attitudes comptent aussi ! Apaiser l'anxiété au sujet des mathématiques et des finances pourrait améliorer l'efficacité des stratégies actuelles d'éducation financière.</w:t>
      </w:r>
    </w:p>
    <w:p w14:paraId="1D32F54F" w14:textId="6B9F24B1" w:rsidR="736CBE90" w:rsidRDefault="736CBE90" w:rsidP="736CBE90"/>
    <w:p w14:paraId="7E579CBD" w14:textId="17620866" w:rsidR="739B5823" w:rsidRDefault="739B5823" w:rsidP="736CBE90">
      <w:pPr>
        <w:rPr>
          <w:rFonts w:ascii="Calibri" w:eastAsia="Calibri" w:hAnsi="Calibri" w:cs="Calibri"/>
          <w:sz w:val="24"/>
          <w:szCs w:val="24"/>
        </w:rPr>
      </w:pPr>
      <w:r w:rsidRPr="736CBE90">
        <w:rPr>
          <w:rFonts w:ascii="Calibri" w:eastAsia="Calibri" w:hAnsi="Calibri" w:cs="Calibri"/>
          <w:sz w:val="24"/>
          <w:szCs w:val="24"/>
        </w:rPr>
        <w:t>Présenté par le laboratoire de cognition et d'émotion de la Dre Erin Maloney à l'Université d'Ottawa.</w:t>
      </w:r>
    </w:p>
    <w:sectPr w:rsidR="739B582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4FA3B"/>
    <w:multiLevelType w:val="hybridMultilevel"/>
    <w:tmpl w:val="3BAC8852"/>
    <w:lvl w:ilvl="0" w:tplc="513856A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AE2C0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34F6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1C96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9013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C04F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4E72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E061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A47E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20465"/>
    <w:multiLevelType w:val="hybridMultilevel"/>
    <w:tmpl w:val="35F2E12A"/>
    <w:lvl w:ilvl="0" w:tplc="84D41E7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0081E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4AC7C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0C0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63D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44E8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3016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F4ED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F0C5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F75784"/>
    <w:multiLevelType w:val="hybridMultilevel"/>
    <w:tmpl w:val="81F40A0A"/>
    <w:lvl w:ilvl="0" w:tplc="76EA66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542D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D4E2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0E6D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8EE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04D5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565E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9CA7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68A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EE8A29"/>
    <w:multiLevelType w:val="hybridMultilevel"/>
    <w:tmpl w:val="AA6A2620"/>
    <w:lvl w:ilvl="0" w:tplc="F88A46F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B04D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1E82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94A3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E265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C8A6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0A71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2893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44E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108DE"/>
    <w:multiLevelType w:val="hybridMultilevel"/>
    <w:tmpl w:val="309C342A"/>
    <w:lvl w:ilvl="0" w:tplc="9A809A7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230245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7C73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CA1D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2035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BE6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80E5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C45A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6C2D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D30F87"/>
    <w:multiLevelType w:val="hybridMultilevel"/>
    <w:tmpl w:val="61A687B8"/>
    <w:lvl w:ilvl="0" w:tplc="0D445DD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790DA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92F2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B608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1AD1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FCB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5C0F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8286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2E19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A92EA3"/>
    <w:multiLevelType w:val="hybridMultilevel"/>
    <w:tmpl w:val="201AE3AC"/>
    <w:lvl w:ilvl="0" w:tplc="CE6C904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AA005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4EE4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4C18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D6C2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EA7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42EC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2E38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40F8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A2524E"/>
    <w:multiLevelType w:val="hybridMultilevel"/>
    <w:tmpl w:val="13645486"/>
    <w:lvl w:ilvl="0" w:tplc="2FCE580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2B60F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841C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205E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5450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92BC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B6AC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E666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32FE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79C5DA"/>
    <w:multiLevelType w:val="hybridMultilevel"/>
    <w:tmpl w:val="C17C5D50"/>
    <w:lvl w:ilvl="0" w:tplc="3050BB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C296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B44F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B23E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66C0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B4C3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D41E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5C15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C25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BA0546"/>
    <w:multiLevelType w:val="hybridMultilevel"/>
    <w:tmpl w:val="87068EF0"/>
    <w:lvl w:ilvl="0" w:tplc="345068D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D7A80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7180E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8E3D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A050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F4D2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658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CCCA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E2A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265485">
    <w:abstractNumId w:val="9"/>
  </w:num>
  <w:num w:numId="2" w16cid:durableId="2045326499">
    <w:abstractNumId w:val="3"/>
  </w:num>
  <w:num w:numId="3" w16cid:durableId="1087773875">
    <w:abstractNumId w:val="1"/>
  </w:num>
  <w:num w:numId="4" w16cid:durableId="1222868306">
    <w:abstractNumId w:val="0"/>
  </w:num>
  <w:num w:numId="5" w16cid:durableId="188102624">
    <w:abstractNumId w:val="7"/>
  </w:num>
  <w:num w:numId="6" w16cid:durableId="1592737073">
    <w:abstractNumId w:val="2"/>
  </w:num>
  <w:num w:numId="7" w16cid:durableId="285308063">
    <w:abstractNumId w:val="8"/>
  </w:num>
  <w:num w:numId="8" w16cid:durableId="80107463">
    <w:abstractNumId w:val="5"/>
  </w:num>
  <w:num w:numId="9" w16cid:durableId="744493718">
    <w:abstractNumId w:val="6"/>
  </w:num>
  <w:num w:numId="10" w16cid:durableId="8544168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C6CC498"/>
    <w:rsid w:val="002C0947"/>
    <w:rsid w:val="004200DE"/>
    <w:rsid w:val="00EB22F0"/>
    <w:rsid w:val="029A8867"/>
    <w:rsid w:val="02B344B7"/>
    <w:rsid w:val="04D2AAC8"/>
    <w:rsid w:val="066E7B29"/>
    <w:rsid w:val="072162DA"/>
    <w:rsid w:val="16892220"/>
    <w:rsid w:val="1A7714EC"/>
    <w:rsid w:val="1DAEB5AE"/>
    <w:rsid w:val="1F03AB10"/>
    <w:rsid w:val="1F4A860F"/>
    <w:rsid w:val="20E65670"/>
    <w:rsid w:val="24B7CB1D"/>
    <w:rsid w:val="2CEA7B50"/>
    <w:rsid w:val="31D714D0"/>
    <w:rsid w:val="34F58D35"/>
    <w:rsid w:val="36915D96"/>
    <w:rsid w:val="3D088CA0"/>
    <w:rsid w:val="3E133EF3"/>
    <w:rsid w:val="40402D62"/>
    <w:rsid w:val="45139E85"/>
    <w:rsid w:val="460F1C19"/>
    <w:rsid w:val="46AF6EE6"/>
    <w:rsid w:val="47300AF4"/>
    <w:rsid w:val="48357B1F"/>
    <w:rsid w:val="4B4F3629"/>
    <w:rsid w:val="5B00138D"/>
    <w:rsid w:val="61470F8C"/>
    <w:rsid w:val="617701F7"/>
    <w:rsid w:val="661A80AF"/>
    <w:rsid w:val="67B65110"/>
    <w:rsid w:val="67DD985B"/>
    <w:rsid w:val="68539163"/>
    <w:rsid w:val="69522171"/>
    <w:rsid w:val="6C6CC498"/>
    <w:rsid w:val="6D9A2179"/>
    <w:rsid w:val="709BFD8B"/>
    <w:rsid w:val="736CBE90"/>
    <w:rsid w:val="739B5823"/>
    <w:rsid w:val="756F6EAE"/>
    <w:rsid w:val="75DB94B8"/>
    <w:rsid w:val="779ECF89"/>
    <w:rsid w:val="7BA2D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CC498"/>
  <w15:chartTrackingRefBased/>
  <w15:docId w15:val="{64CCF678-672B-4EC5-A1F3-BCE062D22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736CBE90"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736CBE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736CBE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736CBE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736CBE9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736CBE9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736CBE9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736CBE9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736CBE9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736CBE9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736CBE90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736CBE90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736CBE9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736CBE90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paragraph" w:styleId="ListParagraph">
    <w:name w:val="List Paragraph"/>
    <w:basedOn w:val="Normal"/>
    <w:uiPriority w:val="34"/>
    <w:qFormat/>
    <w:rsid w:val="736CBE9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736CBE90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736CBE90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736CBE90"/>
    <w:rPr>
      <w:rFonts w:asciiTheme="majorHAnsi" w:eastAsiaTheme="majorEastAsia" w:hAnsiTheme="majorHAnsi" w:cstheme="majorBidi"/>
      <w:noProof w:val="0"/>
      <w:color w:val="1F3763"/>
      <w:sz w:val="24"/>
      <w:szCs w:val="24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rsid w:val="736CBE90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fr-FR"/>
    </w:rPr>
  </w:style>
  <w:style w:type="character" w:customStyle="1" w:styleId="Heading5Char">
    <w:name w:val="Heading 5 Char"/>
    <w:basedOn w:val="DefaultParagraphFont"/>
    <w:link w:val="Heading5"/>
    <w:uiPriority w:val="9"/>
    <w:rsid w:val="736CBE90"/>
    <w:rPr>
      <w:rFonts w:asciiTheme="majorHAnsi" w:eastAsiaTheme="majorEastAsia" w:hAnsiTheme="majorHAnsi" w:cstheme="majorBidi"/>
      <w:noProof w:val="0"/>
      <w:color w:val="2F5496" w:themeColor="accent1" w:themeShade="BF"/>
      <w:lang w:val="fr-FR"/>
    </w:rPr>
  </w:style>
  <w:style w:type="character" w:customStyle="1" w:styleId="Heading6Char">
    <w:name w:val="Heading 6 Char"/>
    <w:basedOn w:val="DefaultParagraphFont"/>
    <w:link w:val="Heading6"/>
    <w:uiPriority w:val="9"/>
    <w:rsid w:val="736CBE90"/>
    <w:rPr>
      <w:rFonts w:asciiTheme="majorHAnsi" w:eastAsiaTheme="majorEastAsia" w:hAnsiTheme="majorHAnsi" w:cstheme="majorBidi"/>
      <w:noProof w:val="0"/>
      <w:color w:val="1F3763"/>
      <w:lang w:val="fr-FR"/>
    </w:rPr>
  </w:style>
  <w:style w:type="character" w:customStyle="1" w:styleId="Heading7Char">
    <w:name w:val="Heading 7 Char"/>
    <w:basedOn w:val="DefaultParagraphFont"/>
    <w:link w:val="Heading7"/>
    <w:uiPriority w:val="9"/>
    <w:rsid w:val="736CBE90"/>
    <w:rPr>
      <w:rFonts w:asciiTheme="majorHAnsi" w:eastAsiaTheme="majorEastAsia" w:hAnsiTheme="majorHAnsi" w:cstheme="majorBidi"/>
      <w:i/>
      <w:iCs/>
      <w:noProof w:val="0"/>
      <w:color w:val="1F3763"/>
      <w:lang w:val="fr-FR"/>
    </w:rPr>
  </w:style>
  <w:style w:type="character" w:customStyle="1" w:styleId="Heading8Char">
    <w:name w:val="Heading 8 Char"/>
    <w:basedOn w:val="DefaultParagraphFont"/>
    <w:link w:val="Heading8"/>
    <w:uiPriority w:val="9"/>
    <w:rsid w:val="736CBE90"/>
    <w:rPr>
      <w:rFonts w:asciiTheme="majorHAnsi" w:eastAsiaTheme="majorEastAsia" w:hAnsiTheme="majorHAnsi" w:cstheme="majorBidi"/>
      <w:noProof w:val="0"/>
      <w:color w:val="272727"/>
      <w:sz w:val="21"/>
      <w:szCs w:val="21"/>
      <w:lang w:val="fr-FR"/>
    </w:rPr>
  </w:style>
  <w:style w:type="character" w:customStyle="1" w:styleId="Heading9Char">
    <w:name w:val="Heading 9 Char"/>
    <w:basedOn w:val="DefaultParagraphFont"/>
    <w:link w:val="Heading9"/>
    <w:uiPriority w:val="9"/>
    <w:rsid w:val="736CBE90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fr-FR"/>
    </w:rPr>
  </w:style>
  <w:style w:type="character" w:customStyle="1" w:styleId="TitleChar">
    <w:name w:val="Title Char"/>
    <w:basedOn w:val="DefaultParagraphFont"/>
    <w:link w:val="Title"/>
    <w:uiPriority w:val="10"/>
    <w:rsid w:val="736CBE90"/>
    <w:rPr>
      <w:rFonts w:asciiTheme="majorHAnsi" w:eastAsiaTheme="majorEastAsia" w:hAnsiTheme="majorHAnsi" w:cstheme="majorBidi"/>
      <w:noProof w:val="0"/>
      <w:sz w:val="56"/>
      <w:szCs w:val="56"/>
      <w:lang w:val="fr-FR"/>
    </w:rPr>
  </w:style>
  <w:style w:type="character" w:customStyle="1" w:styleId="SubtitleChar">
    <w:name w:val="Subtitle Char"/>
    <w:basedOn w:val="DefaultParagraphFont"/>
    <w:link w:val="Subtitle"/>
    <w:uiPriority w:val="11"/>
    <w:rsid w:val="736CBE90"/>
    <w:rPr>
      <w:rFonts w:asciiTheme="minorHAnsi" w:eastAsiaTheme="minorEastAsia" w:hAnsiTheme="minorHAnsi" w:cstheme="minorBidi"/>
      <w:noProof w:val="0"/>
      <w:color w:val="5A5A5A"/>
      <w:lang w:val="fr-FR"/>
    </w:rPr>
  </w:style>
  <w:style w:type="character" w:customStyle="1" w:styleId="QuoteChar">
    <w:name w:val="Quote Char"/>
    <w:basedOn w:val="DefaultParagraphFont"/>
    <w:link w:val="Quote"/>
    <w:uiPriority w:val="29"/>
    <w:rsid w:val="736CBE90"/>
    <w:rPr>
      <w:i/>
      <w:iCs/>
      <w:noProof w:val="0"/>
      <w:color w:val="404040" w:themeColor="text1" w:themeTint="BF"/>
      <w:lang w:val="fr-FR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736CBE90"/>
    <w:rPr>
      <w:i/>
      <w:iCs/>
      <w:noProof w:val="0"/>
      <w:color w:val="4472C4" w:themeColor="accent1"/>
      <w:lang w:val="fr-FR"/>
    </w:rPr>
  </w:style>
  <w:style w:type="paragraph" w:styleId="TOC1">
    <w:name w:val="toc 1"/>
    <w:basedOn w:val="Normal"/>
    <w:next w:val="Normal"/>
    <w:uiPriority w:val="39"/>
    <w:unhideWhenUsed/>
    <w:rsid w:val="736CBE90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736CBE90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736CBE90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736CBE90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736CBE90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736CBE90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736CBE90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736CBE90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736CBE90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736CBE90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736CBE90"/>
    <w:rPr>
      <w:noProof w:val="0"/>
      <w:sz w:val="20"/>
      <w:szCs w:val="20"/>
      <w:lang w:val="fr-FR"/>
    </w:rPr>
  </w:style>
  <w:style w:type="paragraph" w:styleId="Footer">
    <w:name w:val="footer"/>
    <w:basedOn w:val="Normal"/>
    <w:link w:val="FooterChar"/>
    <w:uiPriority w:val="99"/>
    <w:unhideWhenUsed/>
    <w:rsid w:val="736CBE9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736CBE90"/>
    <w:rPr>
      <w:noProof w:val="0"/>
      <w:lang w:val="fr-F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736CBE90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736CBE90"/>
    <w:rPr>
      <w:noProof w:val="0"/>
      <w:sz w:val="20"/>
      <w:szCs w:val="20"/>
      <w:lang w:val="fr-FR"/>
    </w:rPr>
  </w:style>
  <w:style w:type="paragraph" w:styleId="Header">
    <w:name w:val="header"/>
    <w:basedOn w:val="Normal"/>
    <w:link w:val="HeaderChar"/>
    <w:uiPriority w:val="99"/>
    <w:unhideWhenUsed/>
    <w:rsid w:val="736CBE9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736CBE90"/>
    <w:rPr>
      <w:noProof w:val="0"/>
      <w:lang w:val="fr-FR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jrfm16040238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6" ma:contentTypeDescription="Create a new document." ma:contentTypeScope="" ma:versionID="2e748e4f89a363f76284d0e1e9c47d91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477ad9043010415c808145bd2f90f4c8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9F7919-44B3-46C6-B436-D802225F8F78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customXml/itemProps2.xml><?xml version="1.0" encoding="utf-8"?>
<ds:datastoreItem xmlns:ds="http://schemas.openxmlformats.org/officeDocument/2006/customXml" ds:itemID="{A74249AA-7EAD-4E43-B751-74FF75BFED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858BAE-C06D-4E9B-BAF5-E87D56EDE2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Perrier</dc:creator>
  <cp:keywords/>
  <dc:description/>
  <cp:lastModifiedBy>Christen Potvin</cp:lastModifiedBy>
  <cp:revision>2</cp:revision>
  <dcterms:created xsi:type="dcterms:W3CDTF">2024-11-13T15:16:00Z</dcterms:created>
  <dcterms:modified xsi:type="dcterms:W3CDTF">2024-11-13T15:16:00Z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