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F4CBD" w:rsidP="5A61B9DE" w:rsidRDefault="7B8EFC2F" w14:paraId="09DF571C" w14:textId="2EC2E1E8">
      <w:pPr>
        <w:spacing w:line="240" w:lineRule="auto"/>
        <w:rPr>
          <w:rFonts w:ascii="Calibri" w:hAnsi="Calibri" w:eastAsia="Calibri" w:cs="Calibri"/>
          <w:color w:val="FFFFFF" w:themeColor="text1" w:themeTint="FF" w:themeShade="FF"/>
        </w:rPr>
      </w:pPr>
      <w:r w:rsidRPr="5A61B9DE" w:rsidR="7B8EFC2F">
        <w:rPr>
          <w:rFonts w:ascii="Calibri" w:hAnsi="Calibri" w:eastAsia="Calibri" w:cs="Calibri"/>
          <w:b w:val="1"/>
          <w:bCs w:val="1"/>
          <w:color w:val="auto"/>
        </w:rPr>
        <w:t>Title:</w:t>
      </w:r>
    </w:p>
    <w:p w:rsidR="009F4CBD" w:rsidP="5A61B9DE" w:rsidRDefault="7B8EFC2F" w14:paraId="2957CF6B" w14:textId="0033A2F8">
      <w:pPr>
        <w:pStyle w:val="Normal"/>
        <w:spacing w:line="240" w:lineRule="auto"/>
        <w:ind w:left="0"/>
        <w:rPr>
          <w:rFonts w:eastAsia="" w:eastAsiaTheme="minorEastAsia"/>
          <w:color w:val="000000" w:themeColor="background1" w:themeTint="FF" w:themeShade="FF"/>
        </w:rPr>
      </w:pPr>
      <w:r w:rsidRPr="5A61B9DE" w:rsidR="7B8EFC2F">
        <w:rPr>
          <w:rFonts w:ascii="Calibri" w:hAnsi="Calibri" w:eastAsia="Calibri" w:cs="Calibri"/>
          <w:color w:val="auto"/>
        </w:rPr>
        <w:t xml:space="preserve">The effects of </w:t>
      </w:r>
      <w:proofErr w:type="gramStart"/>
      <w:r w:rsidRPr="5A61B9DE" w:rsidR="7B8EFC2F">
        <w:rPr>
          <w:rFonts w:ascii="Calibri" w:hAnsi="Calibri" w:eastAsia="Calibri" w:cs="Calibri"/>
          <w:color w:val="auto"/>
        </w:rPr>
        <w:t>mathematics anxiety</w:t>
      </w:r>
      <w:proofErr w:type="gramEnd"/>
      <w:r w:rsidRPr="5A61B9DE" w:rsidR="7B8EFC2F">
        <w:rPr>
          <w:rFonts w:ascii="Calibri" w:hAnsi="Calibri" w:eastAsia="Calibri" w:cs="Calibri"/>
          <w:color w:val="auto"/>
        </w:rPr>
        <w:t xml:space="preserve"> on the processing of numerical magnitude  </w:t>
      </w:r>
    </w:p>
    <w:p w:rsidR="009F4CBD" w:rsidP="5A61B9DE" w:rsidRDefault="7B8EFC2F" w14:paraId="23A92FCD" w14:textId="657BC6E9">
      <w:pPr>
        <w:pStyle w:val="Normal"/>
        <w:spacing w:line="240" w:lineRule="auto"/>
        <w:ind w:left="0"/>
        <w:rPr>
          <w:rFonts w:ascii="Calibri" w:hAnsi="Calibri" w:eastAsia="Calibri" w:cs="Calibri"/>
          <w:color w:val="FFFFFF" w:themeColor="text1" w:themeTint="FF" w:themeShade="FF"/>
        </w:rPr>
      </w:pPr>
      <w:r w:rsidRPr="5A61B9DE" w:rsidR="7B8EFC2F">
        <w:rPr>
          <w:rFonts w:ascii="Calibri" w:hAnsi="Calibri" w:eastAsia="Calibri" w:cs="Calibri"/>
          <w:b w:val="1"/>
          <w:bCs w:val="1"/>
          <w:color w:val="auto"/>
        </w:rPr>
        <w:t>Authors:</w:t>
      </w:r>
    </w:p>
    <w:p w:rsidR="009F4CBD" w:rsidP="5A61B9DE" w:rsidRDefault="7B8EFC2F" w14:paraId="611291C8" w14:textId="1A722379" w14:noSpellErr="1">
      <w:pPr>
        <w:pStyle w:val="Normal"/>
        <w:spacing w:line="240" w:lineRule="auto"/>
        <w:ind w:left="0"/>
        <w:rPr>
          <w:rFonts w:eastAsia="" w:eastAsiaTheme="minorEastAsia"/>
          <w:color w:val="000000" w:themeColor="background1" w:themeTint="FF" w:themeShade="FF"/>
        </w:rPr>
      </w:pPr>
      <w:r w:rsidRPr="5A61B9DE" w:rsidR="7B8EFC2F">
        <w:rPr>
          <w:rFonts w:ascii="Calibri" w:hAnsi="Calibri" w:eastAsia="Calibri" w:cs="Calibri"/>
          <w:color w:val="auto"/>
        </w:rPr>
        <w:t xml:space="preserve">Erin A. Maloney, Daniel Ansari, and Jonathan A. Fugelsang </w:t>
      </w:r>
      <w:r w:rsidRPr="5A61B9DE" w:rsidR="0196EB6A">
        <w:rPr>
          <w:rFonts w:ascii="Calibri" w:hAnsi="Calibri" w:eastAsia="Calibri" w:cs="Calibri"/>
          <w:color w:val="auto"/>
        </w:rPr>
        <w:t xml:space="preserve">(2011). </w:t>
      </w:r>
      <w:r w:rsidRPr="5A61B9DE" w:rsidR="7B8EFC2F">
        <w:rPr>
          <w:rFonts w:ascii="Calibri" w:hAnsi="Calibri" w:eastAsia="Calibri" w:cs="Calibri"/>
          <w:color w:val="auto"/>
        </w:rPr>
        <w:t xml:space="preserve"> </w:t>
      </w:r>
    </w:p>
    <w:p w:rsidR="009F4CBD" w:rsidP="5A61B9DE" w:rsidRDefault="39D53A37" w14:paraId="5DCA381A" w14:textId="3789FF5E">
      <w:pPr>
        <w:pStyle w:val="Normal"/>
        <w:spacing w:line="240" w:lineRule="auto"/>
        <w:rPr>
          <w:rFonts w:eastAsia="" w:eastAsiaTheme="minorEastAsia"/>
          <w:color w:val="000000" w:themeColor="background1" w:themeTint="FF" w:themeShade="FF"/>
        </w:rPr>
      </w:pPr>
      <w:r w:rsidRPr="5A61B9DE" w:rsidR="7B8EFC2F">
        <w:rPr>
          <w:rFonts w:ascii="Calibri" w:hAnsi="Calibri" w:eastAsia="Calibri" w:cs="Calibri"/>
          <w:b w:val="1"/>
          <w:bCs w:val="1"/>
          <w:color w:val="auto"/>
        </w:rPr>
        <w:t>Journal and DOI:</w:t>
      </w:r>
    </w:p>
    <w:p w:rsidR="009F4CBD" w:rsidP="5A61B9DE" w:rsidRDefault="39D53A37" w14:paraId="1C8317F0" w14:textId="33862186">
      <w:pPr>
        <w:pStyle w:val="Normal"/>
        <w:spacing w:line="240" w:lineRule="auto"/>
        <w:rPr>
          <w:rFonts w:eastAsia="" w:eastAsiaTheme="minorEastAsia"/>
          <w:color w:val="000000" w:themeColor="background1" w:themeTint="FF" w:themeShade="FF"/>
        </w:rPr>
      </w:pPr>
      <w:r w:rsidRPr="5A61B9DE" w:rsidR="39D53A37">
        <w:rPr>
          <w:rFonts w:ascii="Calibri" w:hAnsi="Calibri" w:eastAsia="Calibri" w:cs="Calibri"/>
          <w:color w:val="auto"/>
        </w:rPr>
        <w:t>The Quarterly Journal of Experimental Psychology.</w:t>
      </w:r>
      <w:r w:rsidRPr="5A61B9DE" w:rsidR="7B8EFC2F">
        <w:rPr>
          <w:rFonts w:ascii="Calibri" w:hAnsi="Calibri" w:eastAsia="Calibri" w:cs="Calibri"/>
          <w:color w:val="auto"/>
        </w:rPr>
        <w:t xml:space="preserve"> DOI:</w:t>
      </w:r>
      <w:r w:rsidRPr="5A61B9DE" w:rsidR="7B8ECFB7">
        <w:rPr>
          <w:rFonts w:ascii="Calibri" w:hAnsi="Calibri" w:eastAsia="Calibri" w:cs="Calibri"/>
          <w:color w:val="auto"/>
        </w:rPr>
        <w:t xml:space="preserve"> 10.1080/17470218.2010.533278</w:t>
      </w:r>
      <w:r w:rsidRPr="5A61B9DE" w:rsidR="7B8EFC2F">
        <w:rPr>
          <w:rFonts w:ascii="Calibri" w:hAnsi="Calibri" w:eastAsia="Calibri" w:cs="Calibri"/>
          <w:color w:val="auto"/>
        </w:rPr>
        <w:t xml:space="preserve"> </w:t>
      </w:r>
    </w:p>
    <w:p w:rsidRPr="00EC757F" w:rsidR="00EC757F" w:rsidP="5A61B9DE" w:rsidRDefault="00EC757F" w14:paraId="0F075FFB" w14:textId="5AE8B198">
      <w:pPr>
        <w:pStyle w:val="Normal"/>
        <w:spacing w:line="240" w:lineRule="auto"/>
        <w:ind w:left="0"/>
        <w:rPr>
          <w:rFonts w:eastAsia="" w:eastAsiaTheme="minorEastAsia"/>
          <w:b w:val="1"/>
          <w:bCs w:val="1"/>
          <w:color w:val="auto" w:themeColor="text1"/>
        </w:rPr>
      </w:pPr>
      <w:r w:rsidRPr="5A61B9DE" w:rsidR="00EC757F">
        <w:rPr>
          <w:rFonts w:eastAsia="" w:eastAsiaTheme="minorEastAsia"/>
          <w:b w:val="1"/>
          <w:bCs w:val="1"/>
          <w:color w:val="auto"/>
        </w:rPr>
        <w:t>Previous Research:</w:t>
      </w:r>
    </w:p>
    <w:p w:rsidR="5A61B9DE" w:rsidP="5A61B9DE" w:rsidRDefault="5A61B9DE" w14:paraId="1C065079" w14:textId="34CA4C57">
      <w:pPr>
        <w:pStyle w:val="ListParagraph"/>
        <w:numPr>
          <w:ilvl w:val="0"/>
          <w:numId w:val="2"/>
        </w:numPr>
        <w:spacing w:line="240" w:lineRule="auto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Previous research has reported that</w:t>
      </w: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 </w:t>
      </w:r>
      <w:r w:rsidRPr="5A61B9DE" w:rsidR="5A61B9DE">
        <w:rPr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math anxiety </w:t>
      </w: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(feelings of fear, tension, and apprehension that people experience when doing math) </w:t>
      </w: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impacts an individual's math performance by occupying important memory resources needed for doing math. More recent research has also found that higher-math-anxious adults perform worse than their lower-math-anxious counterparts when counting objects; therefore, we aimed to examine whether math anxiety also relates to performance on another basic numerical task.</w:t>
      </w:r>
    </w:p>
    <w:p w:rsidRPr="00EC757F" w:rsidR="00EC757F" w:rsidP="5A61B9DE" w:rsidRDefault="00A1608C" w14:paraId="3ED55B0E" w14:textId="422E0581">
      <w:pPr>
        <w:spacing w:line="240" w:lineRule="auto"/>
        <w:rPr>
          <w:rFonts w:ascii="Calibri" w:hAnsi="Calibri" w:eastAsia="Calibri" w:cs="Calibri"/>
          <w:color w:val="auto" w:themeColor="text1" w:themeTint="FF" w:themeShade="FF"/>
        </w:rPr>
      </w:pPr>
      <w:r w:rsidRPr="5A61B9DE" w:rsidR="00EC757F">
        <w:rPr>
          <w:rFonts w:ascii="Calibri" w:hAnsi="Calibri" w:eastAsia="Calibri" w:cs="Calibri"/>
          <w:b w:val="1"/>
          <w:bCs w:val="1"/>
          <w:color w:val="auto"/>
        </w:rPr>
        <w:t>What did we ask?</w:t>
      </w:r>
      <w:r w:rsidRPr="5A61B9DE" w:rsidR="00EC757F">
        <w:rPr>
          <w:rFonts w:ascii="Calibri" w:hAnsi="Calibri" w:eastAsia="Calibri" w:cs="Calibri"/>
          <w:color w:val="auto"/>
        </w:rPr>
        <w:t xml:space="preserve"> </w:t>
      </w:r>
    </w:p>
    <w:p w:rsidR="5A61B9DE" w:rsidP="5A61B9DE" w:rsidRDefault="5A61B9DE" w14:paraId="310C1E3B" w14:textId="4116D75C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u w:val="none"/>
          <w:lang w:val="en-US"/>
        </w:rPr>
      </w:pPr>
      <w:r w:rsidRPr="5A61B9DE" w:rsidR="5A61B9DE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u w:val="none"/>
          <w:lang w:val="en-US"/>
        </w:rPr>
        <w:t>The aim of this study was to understand</w:t>
      </w:r>
      <w:r w:rsidRPr="5A61B9DE" w:rsidR="5A61B9DE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u w:val="none"/>
          <w:lang w:val="en-US"/>
        </w:rPr>
        <w:t xml:space="preserve"> whether people who are high in math anxiety are slower or less accurate than their lower math anxious peers</w:t>
      </w:r>
      <w:r w:rsidRPr="5A61B9DE" w:rsidR="5A61B9DE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u w:val="none"/>
          <w:lang w:val="en-US"/>
        </w:rPr>
        <w:t xml:space="preserve"> when it comes to deciding which of two numbers represents a larger quantity (e.g., 7 vs 2).</w:t>
      </w:r>
    </w:p>
    <w:p w:rsidR="009F4CBD" w:rsidP="68BAF61D" w:rsidRDefault="7B8EFC2F" w14:paraId="6828CECE" w14:textId="7250B827" w14:noSpellErr="1">
      <w:pPr>
        <w:spacing w:line="240" w:lineRule="auto"/>
        <w:rPr>
          <w:rFonts w:ascii="Calibri" w:hAnsi="Calibri" w:eastAsia="Calibri" w:cs="Calibri"/>
          <w:color w:val="auto" w:themeColor="text1"/>
        </w:rPr>
      </w:pPr>
      <w:r w:rsidRPr="5A61B9DE" w:rsidR="7B8EFC2F">
        <w:rPr>
          <w:rFonts w:ascii="Calibri" w:hAnsi="Calibri" w:eastAsia="Calibri" w:cs="Calibri"/>
          <w:b w:val="1"/>
          <w:bCs w:val="1"/>
          <w:color w:val="auto"/>
        </w:rPr>
        <w:t>How did we ask it?</w:t>
      </w:r>
      <w:r w:rsidRPr="5A61B9DE" w:rsidR="7B8EFC2F">
        <w:rPr>
          <w:rFonts w:ascii="Calibri" w:hAnsi="Calibri" w:eastAsia="Calibri" w:cs="Calibri"/>
          <w:color w:val="auto"/>
        </w:rPr>
        <w:t xml:space="preserve"> </w:t>
      </w:r>
    </w:p>
    <w:p w:rsidR="5A61B9DE" w:rsidP="5A61B9DE" w:rsidRDefault="5A61B9DE" w14:paraId="3701379F" w14:textId="73BAA4EF">
      <w:pPr>
        <w:pStyle w:val="ListParagraph"/>
        <w:numPr>
          <w:ilvl w:val="0"/>
          <w:numId w:val="2"/>
        </w:numPr>
        <w:spacing w:line="240" w:lineRule="auto"/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</w:pPr>
      <w:r w:rsidRPr="5A61B9DE" w:rsidR="5A61B9DE"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  <w:t>Experiment 1:</w:t>
      </w:r>
      <w:r w:rsidRPr="5A61B9DE" w:rsidR="5A61B9DE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  <w:t xml:space="preserve"> U</w:t>
      </w:r>
      <w:r w:rsidRPr="5A61B9DE" w:rsidR="5A61B9DE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  <w:t xml:space="preserve">ndergraduate students (lower math anxious=24, higher math anxious=24) were presented with a single number ranging from 1-4 or 6-9 on a computer; They were asked to identify whether the number presented was higher or lower than five. </w:t>
      </w:r>
    </w:p>
    <w:p w:rsidR="5A61B9DE" w:rsidP="5A61B9DE" w:rsidRDefault="5A61B9DE" w14:paraId="7CA552E4" w14:textId="53B86159">
      <w:pPr>
        <w:pStyle w:val="ListParagraph"/>
        <w:numPr>
          <w:ilvl w:val="0"/>
          <w:numId w:val="2"/>
        </w:numPr>
        <w:spacing w:line="240" w:lineRule="auto"/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</w:pPr>
      <w:r w:rsidRPr="5A61B9DE" w:rsidR="5A61B9DE"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  <w:t xml:space="preserve">Experiment 2: </w:t>
      </w:r>
      <w:r w:rsidRPr="5A61B9DE" w:rsidR="5A61B9DE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  <w:t>Undergraduate students (lower math anxious=22, higher math anxious=22) were presented with two numbers simultaneously ranging from 1-9 on a computer screen. They were asked to identify which of the two simultaneously presented numbers was larger.</w:t>
      </w:r>
    </w:p>
    <w:p w:rsidR="009F4CBD" w:rsidP="68BAF61D" w:rsidRDefault="7B8EFC2F" w14:paraId="55869613" w14:textId="3464D6BB" w14:noSpellErr="1">
      <w:pPr>
        <w:spacing w:line="240" w:lineRule="auto"/>
        <w:rPr>
          <w:rFonts w:ascii="Calibri" w:hAnsi="Calibri" w:eastAsia="Calibri" w:cs="Calibri"/>
          <w:color w:val="auto" w:themeColor="text1"/>
        </w:rPr>
      </w:pPr>
      <w:r w:rsidRPr="5A61B9DE" w:rsidR="7B8EFC2F">
        <w:rPr>
          <w:rFonts w:ascii="Calibri" w:hAnsi="Calibri" w:eastAsia="Calibri" w:cs="Calibri"/>
          <w:b w:val="1"/>
          <w:bCs w:val="1"/>
          <w:color w:val="auto"/>
        </w:rPr>
        <w:t>What did we find?</w:t>
      </w:r>
      <w:r w:rsidRPr="5A61B9DE" w:rsidR="7B8EFC2F">
        <w:rPr>
          <w:rFonts w:ascii="Calibri" w:hAnsi="Calibri" w:eastAsia="Calibri" w:cs="Calibri"/>
          <w:color w:val="auto"/>
        </w:rPr>
        <w:t xml:space="preserve"> </w:t>
      </w:r>
    </w:p>
    <w:p w:rsidR="5A61B9DE" w:rsidP="5A61B9DE" w:rsidRDefault="5A61B9DE" w14:paraId="7CBECE85" w14:textId="5F8D8031">
      <w:pPr>
        <w:pStyle w:val="ListParagraph"/>
        <w:numPr>
          <w:ilvl w:val="0"/>
          <w:numId w:val="2"/>
        </w:numPr>
        <w:spacing w:line="240" w:lineRule="auto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Across both studies, </w:t>
      </w: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higher math anxious participants performed worse on the numerical comparison tasks</w:t>
      </w: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 relative to lower math anxious participants.</w:t>
      </w:r>
    </w:p>
    <w:p w:rsidR="009F4CBD" w:rsidP="68BAF61D" w:rsidRDefault="7B8EFC2F" w14:paraId="2B624DA2" w14:textId="2C56B8AD" w14:noSpellErr="1">
      <w:pPr>
        <w:spacing w:line="240" w:lineRule="auto"/>
        <w:rPr>
          <w:rFonts w:ascii="Calibri" w:hAnsi="Calibri" w:eastAsia="Calibri" w:cs="Calibri"/>
          <w:color w:val="auto" w:themeColor="text1"/>
        </w:rPr>
      </w:pPr>
      <w:r w:rsidRPr="5A61B9DE" w:rsidR="7B8EFC2F">
        <w:rPr>
          <w:rFonts w:ascii="Calibri" w:hAnsi="Calibri" w:eastAsia="Calibri" w:cs="Calibri"/>
          <w:b w:val="1"/>
          <w:bCs w:val="1"/>
          <w:color w:val="auto"/>
        </w:rPr>
        <w:t>Why is this important?</w:t>
      </w:r>
      <w:r w:rsidRPr="5A61B9DE" w:rsidR="7B8EFC2F">
        <w:rPr>
          <w:rFonts w:ascii="Calibri" w:hAnsi="Calibri" w:eastAsia="Calibri" w:cs="Calibri"/>
          <w:color w:val="auto"/>
        </w:rPr>
        <w:t xml:space="preserve">  </w:t>
      </w:r>
    </w:p>
    <w:p w:rsidR="5A61B9DE" w:rsidP="5A61B9DE" w:rsidRDefault="5A61B9DE" w14:paraId="32A7A0DA" w14:textId="7415613E">
      <w:pPr>
        <w:pStyle w:val="ListParagraph"/>
        <w:numPr>
          <w:ilvl w:val="0"/>
          <w:numId w:val="2"/>
        </w:numPr>
        <w:spacing w:line="240" w:lineRule="auto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This study provided additional evidence that </w:t>
      </w: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math anxiety is not only related to performance on difficult math tasks, but also on simple numerical tasks.</w:t>
      </w:r>
      <w:r w:rsidRPr="5A61B9DE" w:rsidR="5A61B9DE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 These results open the door to the possibility that math anxiety could be caused by difficulties with basic number processing, a theory that was thought not possible until recently.</w:t>
      </w:r>
    </w:p>
    <w:p w:rsidR="25B7C3D8" w:rsidP="25B7C3D8" w:rsidRDefault="25B7C3D8" w14:paraId="37BF3EB9" w14:textId="67188C6C">
      <w:pPr>
        <w:pStyle w:val="Normal"/>
        <w:spacing w:line="240" w:lineRule="auto"/>
        <w:rPr>
          <w:rFonts w:ascii="Calibri" w:hAnsi="Calibri" w:eastAsia="Calibri" w:cs="Calibri"/>
          <w:b w:val="1"/>
          <w:bCs w:val="1"/>
          <w:i w:val="0"/>
          <w:iCs w:val="0"/>
          <w:strike w:val="0"/>
          <w:dstrike w:val="0"/>
          <w:noProof w:val="0"/>
          <w:color w:val="auto"/>
          <w:sz w:val="22"/>
          <w:szCs w:val="22"/>
          <w:u w:val="none"/>
          <w:lang w:val="en-US"/>
        </w:rPr>
      </w:pPr>
      <w:r w:rsidRPr="25B7C3D8" w:rsidR="25B7C3D8">
        <w:rPr>
          <w:rFonts w:ascii="Calibri" w:hAnsi="Calibri" w:eastAsia="Calibri" w:cs="Calibri"/>
          <w:b w:val="1"/>
          <w:bCs w:val="1"/>
          <w:i w:val="0"/>
          <w:iCs w:val="0"/>
          <w:strike w:val="0"/>
          <w:dstrike w:val="0"/>
          <w:noProof w:val="0"/>
          <w:color w:val="auto"/>
          <w:sz w:val="22"/>
          <w:szCs w:val="22"/>
          <w:u w:val="none"/>
          <w:lang w:val="en-US"/>
        </w:rPr>
        <w:t>Brought to you by Dr. Erin Maloney's Cognition and Emotion Lab at the University of Ottawa.</w:t>
      </w:r>
    </w:p>
    <w:p w:rsidR="009F4CBD" w:rsidP="25B7C3D8" w:rsidRDefault="009F4CBD" w14:paraId="4226AC42" w14:textId="395EC3DD">
      <w:pPr>
        <w:rPr>
          <w:rFonts w:ascii="Calibri" w:hAnsi="Calibri" w:eastAsia="Calibri" w:cs="Calibri"/>
          <w:color w:val="FFFFFF" w:themeColor="text1" w:themeTint="FF" w:themeShade="FF"/>
        </w:rPr>
      </w:pPr>
      <w:r w:rsidRPr="25B7C3D8" w:rsidR="25B7C3D8">
        <w:rPr>
          <w:rFonts w:ascii="Calibri" w:hAnsi="Calibri" w:eastAsia="Calibri" w:cs="Calibri"/>
          <w:color w:val="FFFFFF" w:themeColor="text1" w:themeTint="FF" w:themeShade="FF"/>
        </w:rPr>
        <w:t>\</w:t>
      </w:r>
    </w:p>
    <w:p w:rsidR="009F4CBD" w:rsidP="0732AB19" w:rsidRDefault="009F4CBD" w14:paraId="2C078E63" w14:noSpellErr="1" w14:textId="02C8F8D3">
      <w:pPr>
        <w:pStyle w:val="Normal"/>
        <w:rPr>
          <w:rFonts w:ascii="Calibri" w:hAnsi="Calibri" w:eastAsia="Calibri" w:cs="Calibri"/>
          <w:color w:val="FFFFFF" w:themeColor="text1" w:themeTint="FF" w:themeShade="FF"/>
        </w:rPr>
      </w:pPr>
    </w:p>
    <w:sectPr w:rsidR="009F4CBD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2">
    <w:nsid w:val="6d2b23e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2D6A0853"/>
    <w:multiLevelType w:val="hybridMultilevel"/>
    <w:tmpl w:val="085C2E00"/>
    <w:lvl w:ilvl="0" w:tplc="23DCF0E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73E51C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6E41B1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EA89B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59CAEF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548378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3B226E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B408DE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ACA3AA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F8A0E4F"/>
    <w:multiLevelType w:val="hybridMultilevel"/>
    <w:tmpl w:val="5CF81AB2"/>
    <w:lvl w:ilvl="0" w:tplc="5E8A2E1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EEC980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4707BB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E148DB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BB659E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4F6345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BB620D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D745C8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D4AF58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2"/>
  </w: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6DEC00"/>
    <w:rsid w:val="000A69D4"/>
    <w:rsid w:val="001C12F3"/>
    <w:rsid w:val="001D181D"/>
    <w:rsid w:val="0023791E"/>
    <w:rsid w:val="0024945C"/>
    <w:rsid w:val="00310CD5"/>
    <w:rsid w:val="00526939"/>
    <w:rsid w:val="006E4FCE"/>
    <w:rsid w:val="00881FE6"/>
    <w:rsid w:val="008A6FD8"/>
    <w:rsid w:val="00993B16"/>
    <w:rsid w:val="009F4CBD"/>
    <w:rsid w:val="00A1608C"/>
    <w:rsid w:val="00EC757F"/>
    <w:rsid w:val="0196EB6A"/>
    <w:rsid w:val="01EF6FF9"/>
    <w:rsid w:val="039B5742"/>
    <w:rsid w:val="04951B83"/>
    <w:rsid w:val="05BFCC54"/>
    <w:rsid w:val="0732AB19"/>
    <w:rsid w:val="0845D3F3"/>
    <w:rsid w:val="088DC9D7"/>
    <w:rsid w:val="08A4A0D5"/>
    <w:rsid w:val="08CE7B7A"/>
    <w:rsid w:val="08D457DD"/>
    <w:rsid w:val="09FC09B7"/>
    <w:rsid w:val="0A408298"/>
    <w:rsid w:val="0AD6B265"/>
    <w:rsid w:val="0D227DBA"/>
    <w:rsid w:val="0D227DBA"/>
    <w:rsid w:val="0D33AA79"/>
    <w:rsid w:val="106B4B3B"/>
    <w:rsid w:val="10A8559F"/>
    <w:rsid w:val="114CA9A6"/>
    <w:rsid w:val="1197C6F8"/>
    <w:rsid w:val="12114A27"/>
    <w:rsid w:val="126C26DB"/>
    <w:rsid w:val="13507F0E"/>
    <w:rsid w:val="1376DAF7"/>
    <w:rsid w:val="14184EEF"/>
    <w:rsid w:val="15210456"/>
    <w:rsid w:val="1649332A"/>
    <w:rsid w:val="17FFEA03"/>
    <w:rsid w:val="19C38021"/>
    <w:rsid w:val="1AC64F3C"/>
    <w:rsid w:val="1B9D04C9"/>
    <w:rsid w:val="1BF84295"/>
    <w:rsid w:val="1CAEA680"/>
    <w:rsid w:val="1F2CBC29"/>
    <w:rsid w:val="20CDFE66"/>
    <w:rsid w:val="225C4994"/>
    <w:rsid w:val="2359CA9F"/>
    <w:rsid w:val="23788568"/>
    <w:rsid w:val="25293FEE"/>
    <w:rsid w:val="25B7C3D8"/>
    <w:rsid w:val="26F08B15"/>
    <w:rsid w:val="276B74D2"/>
    <w:rsid w:val="2955EEC1"/>
    <w:rsid w:val="2A08B60E"/>
    <w:rsid w:val="2A6F3491"/>
    <w:rsid w:val="2B02EBE1"/>
    <w:rsid w:val="2E1014C9"/>
    <w:rsid w:val="2E66F2A0"/>
    <w:rsid w:val="2EBD2195"/>
    <w:rsid w:val="2FF6AFBC"/>
    <w:rsid w:val="3383B061"/>
    <w:rsid w:val="361E97BB"/>
    <w:rsid w:val="367BFF4E"/>
    <w:rsid w:val="37CCEC2C"/>
    <w:rsid w:val="38A1A41C"/>
    <w:rsid w:val="38F6C118"/>
    <w:rsid w:val="390740AE"/>
    <w:rsid w:val="397B37FB"/>
    <w:rsid w:val="39D53A37"/>
    <w:rsid w:val="3CABA0D3"/>
    <w:rsid w:val="3D051A07"/>
    <w:rsid w:val="3DB3E510"/>
    <w:rsid w:val="3E0096B4"/>
    <w:rsid w:val="3F2B6156"/>
    <w:rsid w:val="3FEB568F"/>
    <w:rsid w:val="3FFF18D4"/>
    <w:rsid w:val="4132DAA1"/>
    <w:rsid w:val="44ADDB63"/>
    <w:rsid w:val="45A30D0C"/>
    <w:rsid w:val="47B2CA1C"/>
    <w:rsid w:val="488D32DC"/>
    <w:rsid w:val="493A2DE0"/>
    <w:rsid w:val="49E5E003"/>
    <w:rsid w:val="507195D2"/>
    <w:rsid w:val="50D3FFF5"/>
    <w:rsid w:val="52317FB7"/>
    <w:rsid w:val="526FD056"/>
    <w:rsid w:val="558017E9"/>
    <w:rsid w:val="55BDF366"/>
    <w:rsid w:val="561C0AE7"/>
    <w:rsid w:val="5636A93A"/>
    <w:rsid w:val="593467C1"/>
    <w:rsid w:val="59349997"/>
    <w:rsid w:val="5A61B9DE"/>
    <w:rsid w:val="5D03D739"/>
    <w:rsid w:val="5E8FCD89"/>
    <w:rsid w:val="5FCC227E"/>
    <w:rsid w:val="600B0866"/>
    <w:rsid w:val="60889D55"/>
    <w:rsid w:val="60FF4533"/>
    <w:rsid w:val="61F04595"/>
    <w:rsid w:val="62DCB9AA"/>
    <w:rsid w:val="63A8B008"/>
    <w:rsid w:val="667EC5C3"/>
    <w:rsid w:val="67438454"/>
    <w:rsid w:val="6786312F"/>
    <w:rsid w:val="68BAF61D"/>
    <w:rsid w:val="6BF3986A"/>
    <w:rsid w:val="6C90DBF9"/>
    <w:rsid w:val="6EB46E1C"/>
    <w:rsid w:val="706DEC00"/>
    <w:rsid w:val="716E7B95"/>
    <w:rsid w:val="725FCBB1"/>
    <w:rsid w:val="72D3D874"/>
    <w:rsid w:val="742740D5"/>
    <w:rsid w:val="74D09215"/>
    <w:rsid w:val="75F61BC9"/>
    <w:rsid w:val="7791EC2A"/>
    <w:rsid w:val="77E19DBE"/>
    <w:rsid w:val="78608F3D"/>
    <w:rsid w:val="79664180"/>
    <w:rsid w:val="7A7E7628"/>
    <w:rsid w:val="7AD5DB28"/>
    <w:rsid w:val="7B8ECFB7"/>
    <w:rsid w:val="7B8EFC2F"/>
    <w:rsid w:val="7BD65350"/>
    <w:rsid w:val="7C1D4FAF"/>
    <w:rsid w:val="7D36AF0B"/>
    <w:rsid w:val="7F7F83B9"/>
    <w:rsid w:val="7F85C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DEC00"/>
  <w15:chartTrackingRefBased/>
  <w15:docId w15:val="{B582853C-2317-45D1-92F1-418FA12A1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EC5AAE-B63E-4E68-B7F1-65E93733D003}">
  <ds:schemaRefs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e9169365-f9c8-47b7-8434-2476f31b79fd"/>
    <ds:schemaRef ds:uri="c6e0f609-ae9b-47fd-a98e-c62ec8c8b5cb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CB213AEE-1518-41C9-95CD-48200E7558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DC6583-2868-4831-ACCD-4FD8BC2686A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Patrice Yazdanyar</dc:creator>
  <keywords/>
  <dc:description/>
  <lastModifiedBy>Elora Wales</lastModifiedBy>
  <revision>18</revision>
  <dcterms:created xsi:type="dcterms:W3CDTF">2021-11-04T16:22:00.0000000Z</dcterms:created>
  <dcterms:modified xsi:type="dcterms:W3CDTF">2022-08-15T20:54:34.7604337Z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